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9BAB" w14:textId="77777777" w:rsidR="0020736D" w:rsidRPr="00E45250" w:rsidRDefault="0020736D">
      <w:pPr>
        <w:rPr>
          <w:rFonts w:asciiTheme="minorHAnsi" w:hAnsiTheme="minorHAnsi"/>
          <w:b/>
          <w:szCs w:val="24"/>
          <w:u w:val="single"/>
        </w:rPr>
      </w:pPr>
      <w:r w:rsidRPr="00E45250">
        <w:rPr>
          <w:rFonts w:asciiTheme="minorHAnsi" w:hAnsiTheme="minorHAnsi"/>
          <w:b/>
          <w:szCs w:val="24"/>
          <w:u w:val="single"/>
        </w:rPr>
        <w:t>STERLING HEIGHTS POLICE &amp; FIRE RETIREMENT SYSTEM</w:t>
      </w:r>
    </w:p>
    <w:p w14:paraId="001AF6F8" w14:textId="77777777" w:rsidR="0020736D" w:rsidRPr="00E45250" w:rsidRDefault="0020736D">
      <w:pPr>
        <w:rPr>
          <w:rFonts w:asciiTheme="minorHAnsi" w:hAnsiTheme="minorHAnsi"/>
          <w:b/>
          <w:szCs w:val="24"/>
          <w:u w:val="single"/>
        </w:rPr>
      </w:pPr>
      <w:r w:rsidRPr="00E45250">
        <w:rPr>
          <w:rFonts w:asciiTheme="minorHAnsi" w:hAnsiTheme="minorHAnsi"/>
          <w:b/>
          <w:szCs w:val="24"/>
          <w:u w:val="single"/>
        </w:rPr>
        <w:t>SUMMARY ANNUAL REPORT</w:t>
      </w:r>
    </w:p>
    <w:p w14:paraId="258147B6" w14:textId="77777777" w:rsidR="0020736D" w:rsidRPr="00E45250" w:rsidRDefault="0020736D">
      <w:pPr>
        <w:rPr>
          <w:rFonts w:asciiTheme="minorHAnsi" w:hAnsiTheme="minorHAnsi"/>
          <w:b/>
          <w:szCs w:val="24"/>
        </w:rPr>
      </w:pPr>
    </w:p>
    <w:p w14:paraId="6BA8CCC2" w14:textId="380A2A44" w:rsidR="0020736D" w:rsidRPr="00E45250" w:rsidRDefault="00FF5431">
      <w:pPr>
        <w:rPr>
          <w:rFonts w:asciiTheme="minorHAnsi" w:hAnsiTheme="minorHAnsi"/>
          <w:b/>
          <w:szCs w:val="24"/>
          <w:u w:val="single"/>
        </w:rPr>
      </w:pPr>
      <w:r w:rsidRPr="00E45250">
        <w:rPr>
          <w:rFonts w:asciiTheme="minorHAnsi" w:hAnsiTheme="minorHAnsi"/>
          <w:b/>
          <w:szCs w:val="24"/>
          <w:u w:val="single"/>
        </w:rPr>
        <w:t>JU</w:t>
      </w:r>
      <w:r w:rsidR="005C64EA">
        <w:rPr>
          <w:rFonts w:asciiTheme="minorHAnsi" w:hAnsiTheme="minorHAnsi"/>
          <w:b/>
          <w:szCs w:val="24"/>
          <w:u w:val="single"/>
        </w:rPr>
        <w:t>NE 30</w:t>
      </w:r>
      <w:r w:rsidRPr="00E45250">
        <w:rPr>
          <w:rFonts w:asciiTheme="minorHAnsi" w:hAnsiTheme="minorHAnsi"/>
          <w:b/>
          <w:szCs w:val="24"/>
          <w:u w:val="single"/>
        </w:rPr>
        <w:t>, 202</w:t>
      </w:r>
      <w:r w:rsidR="004E0CEC">
        <w:rPr>
          <w:rFonts w:asciiTheme="minorHAnsi" w:hAnsiTheme="minorHAnsi"/>
          <w:b/>
          <w:szCs w:val="24"/>
          <w:u w:val="single"/>
        </w:rPr>
        <w:t>5</w:t>
      </w:r>
    </w:p>
    <w:p w14:paraId="45C42D2E" w14:textId="77777777" w:rsidR="00032395" w:rsidRPr="00E45250" w:rsidRDefault="00032395">
      <w:pPr>
        <w:rPr>
          <w:rFonts w:asciiTheme="minorHAnsi" w:hAnsiTheme="minorHAnsi"/>
          <w:b/>
          <w:szCs w:val="24"/>
        </w:rPr>
      </w:pPr>
    </w:p>
    <w:p w14:paraId="12061D8C" w14:textId="77777777" w:rsidR="00032395" w:rsidRPr="00E45250" w:rsidRDefault="00032395" w:rsidP="00032395">
      <w:pPr>
        <w:jc w:val="both"/>
        <w:rPr>
          <w:rFonts w:asciiTheme="minorHAnsi" w:hAnsiTheme="minorHAnsi"/>
          <w:b/>
          <w:szCs w:val="24"/>
        </w:rPr>
      </w:pPr>
      <w:r w:rsidRPr="00E45250">
        <w:rPr>
          <w:rFonts w:asciiTheme="minorHAnsi" w:hAnsiTheme="minorHAnsi"/>
          <w:b/>
          <w:szCs w:val="24"/>
        </w:rPr>
        <w:t>I.</w:t>
      </w:r>
      <w:r w:rsidRPr="00E45250">
        <w:rPr>
          <w:rFonts w:asciiTheme="minorHAnsi" w:hAnsiTheme="minorHAnsi"/>
          <w:b/>
          <w:szCs w:val="24"/>
        </w:rPr>
        <w:tab/>
        <w:t>RETIREMENT SYSTEM INFORMATION</w:t>
      </w:r>
    </w:p>
    <w:p w14:paraId="0FA8438D" w14:textId="77777777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  <w:t>a.</w:t>
      </w:r>
      <w:r w:rsidRPr="00E45250">
        <w:rPr>
          <w:rFonts w:asciiTheme="minorHAnsi" w:hAnsiTheme="minorHAnsi"/>
          <w:szCs w:val="24"/>
        </w:rPr>
        <w:tab/>
        <w:t>Name of the Retirement System</w:t>
      </w:r>
    </w:p>
    <w:p w14:paraId="45343AD5" w14:textId="77777777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Sterling Heights Police &amp; Fire Retirement System, Act 345</w:t>
      </w:r>
    </w:p>
    <w:p w14:paraId="7FC1E992" w14:textId="77777777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  <w:t>b.</w:t>
      </w:r>
      <w:r w:rsidRPr="00E45250">
        <w:rPr>
          <w:rFonts w:asciiTheme="minorHAnsi" w:hAnsiTheme="minorHAnsi"/>
          <w:szCs w:val="24"/>
        </w:rPr>
        <w:tab/>
        <w:t>Names of the Retirement System’s investment fiduciaries</w:t>
      </w:r>
    </w:p>
    <w:p w14:paraId="4D2A9155" w14:textId="77777777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1.</w:t>
      </w:r>
      <w:r w:rsidRPr="00E45250">
        <w:rPr>
          <w:rFonts w:asciiTheme="minorHAnsi" w:hAnsiTheme="minorHAnsi"/>
          <w:szCs w:val="24"/>
        </w:rPr>
        <w:tab/>
        <w:t>Board of Trustees</w:t>
      </w:r>
    </w:p>
    <w:p w14:paraId="75163721" w14:textId="77777777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John Lamerato, President</w:t>
      </w:r>
    </w:p>
    <w:p w14:paraId="704DD13D" w14:textId="310214C7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</w:r>
      <w:r w:rsidR="004E0CEC">
        <w:rPr>
          <w:rFonts w:asciiTheme="minorHAnsi" w:hAnsiTheme="minorHAnsi"/>
          <w:szCs w:val="24"/>
        </w:rPr>
        <w:t>Nathaniel Rymill</w:t>
      </w:r>
      <w:r w:rsidRPr="00E45250">
        <w:rPr>
          <w:rFonts w:asciiTheme="minorHAnsi" w:hAnsiTheme="minorHAnsi"/>
          <w:szCs w:val="24"/>
        </w:rPr>
        <w:t>, Secretary</w:t>
      </w:r>
    </w:p>
    <w:p w14:paraId="746112DC" w14:textId="77777777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Randall Schwarb, Trustee</w:t>
      </w:r>
    </w:p>
    <w:p w14:paraId="4B1D6BF2" w14:textId="77777777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 xml:space="preserve">Robert </w:t>
      </w:r>
      <w:proofErr w:type="spellStart"/>
      <w:r w:rsidRPr="00E45250">
        <w:rPr>
          <w:rFonts w:asciiTheme="minorHAnsi" w:hAnsiTheme="minorHAnsi"/>
          <w:szCs w:val="24"/>
        </w:rPr>
        <w:t>Maleszyk</w:t>
      </w:r>
      <w:proofErr w:type="spellEnd"/>
      <w:r w:rsidRPr="00E45250">
        <w:rPr>
          <w:rFonts w:asciiTheme="minorHAnsi" w:hAnsiTheme="minorHAnsi"/>
          <w:szCs w:val="24"/>
        </w:rPr>
        <w:t>, Trustee</w:t>
      </w:r>
    </w:p>
    <w:p w14:paraId="42C2FDA7" w14:textId="6845B339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</w:r>
      <w:r w:rsidR="00097F17">
        <w:rPr>
          <w:rFonts w:asciiTheme="minorHAnsi" w:hAnsiTheme="minorHAnsi"/>
          <w:szCs w:val="24"/>
        </w:rPr>
        <w:t>J</w:t>
      </w:r>
      <w:r w:rsidR="004E0CEC">
        <w:rPr>
          <w:rFonts w:asciiTheme="minorHAnsi" w:hAnsiTheme="minorHAnsi"/>
          <w:szCs w:val="24"/>
        </w:rPr>
        <w:t>ia Hang</w:t>
      </w:r>
      <w:r w:rsidR="00097F17">
        <w:rPr>
          <w:rFonts w:asciiTheme="minorHAnsi" w:hAnsiTheme="minorHAnsi"/>
          <w:szCs w:val="24"/>
        </w:rPr>
        <w:t xml:space="preserve">, </w:t>
      </w:r>
      <w:r w:rsidR="004E0CEC">
        <w:rPr>
          <w:rFonts w:asciiTheme="minorHAnsi" w:hAnsiTheme="minorHAnsi"/>
          <w:szCs w:val="24"/>
        </w:rPr>
        <w:t>City</w:t>
      </w:r>
      <w:r w:rsidRPr="00E45250">
        <w:rPr>
          <w:rFonts w:asciiTheme="minorHAnsi" w:hAnsiTheme="minorHAnsi"/>
          <w:szCs w:val="24"/>
        </w:rPr>
        <w:t xml:space="preserve"> Treasurer</w:t>
      </w:r>
    </w:p>
    <w:p w14:paraId="4D89C83C" w14:textId="77777777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2.</w:t>
      </w:r>
      <w:r w:rsidRPr="00E45250">
        <w:rPr>
          <w:rFonts w:asciiTheme="minorHAnsi" w:hAnsiTheme="minorHAnsi"/>
          <w:szCs w:val="24"/>
        </w:rPr>
        <w:tab/>
        <w:t>Investment Consultant</w:t>
      </w:r>
    </w:p>
    <w:p w14:paraId="39D37419" w14:textId="52294F1D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The Brice Group – M</w:t>
      </w:r>
      <w:r w:rsidR="00E45250" w:rsidRPr="00E45250">
        <w:rPr>
          <w:rFonts w:asciiTheme="minorHAnsi" w:hAnsiTheme="minorHAnsi"/>
          <w:szCs w:val="24"/>
        </w:rPr>
        <w:t xml:space="preserve">organ </w:t>
      </w:r>
      <w:r w:rsidRPr="00E45250">
        <w:rPr>
          <w:rFonts w:asciiTheme="minorHAnsi" w:hAnsiTheme="minorHAnsi"/>
          <w:szCs w:val="24"/>
        </w:rPr>
        <w:t>S</w:t>
      </w:r>
      <w:r w:rsidR="00E45250" w:rsidRPr="00E45250">
        <w:rPr>
          <w:rFonts w:asciiTheme="minorHAnsi" w:hAnsiTheme="minorHAnsi"/>
          <w:szCs w:val="24"/>
        </w:rPr>
        <w:t>tanley/</w:t>
      </w:r>
      <w:r w:rsidRPr="00E45250">
        <w:rPr>
          <w:rFonts w:asciiTheme="minorHAnsi" w:hAnsiTheme="minorHAnsi"/>
          <w:szCs w:val="24"/>
        </w:rPr>
        <w:t>Graystone Consulting</w:t>
      </w:r>
    </w:p>
    <w:p w14:paraId="0019B5CF" w14:textId="77777777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3.</w:t>
      </w:r>
      <w:r w:rsidRPr="00E45250">
        <w:rPr>
          <w:rFonts w:asciiTheme="minorHAnsi" w:hAnsiTheme="minorHAnsi"/>
          <w:szCs w:val="24"/>
        </w:rPr>
        <w:tab/>
        <w:t>Investment Manager’s</w:t>
      </w:r>
    </w:p>
    <w:p w14:paraId="371AD343" w14:textId="77777777" w:rsidR="002616AA" w:rsidRPr="00E45250" w:rsidRDefault="00032395" w:rsidP="002616AA">
      <w:pPr>
        <w:ind w:firstLine="720"/>
        <w:jc w:val="both"/>
        <w:rPr>
          <w:rFonts w:asciiTheme="minorHAnsi" w:hAnsiTheme="minorHAnsi"/>
          <w:i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</w:r>
      <w:r w:rsidR="002616AA" w:rsidRPr="00E45250">
        <w:rPr>
          <w:rFonts w:asciiTheme="minorHAnsi" w:hAnsiTheme="minorHAnsi"/>
          <w:szCs w:val="24"/>
        </w:rPr>
        <w:t xml:space="preserve">Janus Capital Group, </w:t>
      </w:r>
      <w:r w:rsidR="002616AA" w:rsidRPr="00E45250">
        <w:rPr>
          <w:rFonts w:asciiTheme="minorHAnsi" w:hAnsiTheme="minorHAnsi"/>
          <w:i/>
          <w:szCs w:val="24"/>
        </w:rPr>
        <w:t>U.S. Stocks – Large Cap Growth Equity</w:t>
      </w:r>
    </w:p>
    <w:p w14:paraId="1B2782F1" w14:textId="77777777" w:rsidR="002616AA" w:rsidRPr="00E45250" w:rsidRDefault="002616AA" w:rsidP="002616AA">
      <w:pPr>
        <w:ind w:left="1440" w:firstLine="720"/>
        <w:jc w:val="both"/>
        <w:rPr>
          <w:rFonts w:asciiTheme="minorHAnsi" w:hAnsiTheme="minorHAnsi"/>
          <w:i/>
          <w:szCs w:val="24"/>
        </w:rPr>
      </w:pPr>
      <w:r w:rsidRPr="00E45250">
        <w:rPr>
          <w:rFonts w:asciiTheme="minorHAnsi" w:hAnsiTheme="minorHAnsi"/>
          <w:szCs w:val="24"/>
        </w:rPr>
        <w:t xml:space="preserve">Winslow Capital </w:t>
      </w:r>
      <w:r w:rsidRPr="00E45250">
        <w:rPr>
          <w:rFonts w:asciiTheme="minorHAnsi" w:hAnsiTheme="minorHAnsi"/>
          <w:i/>
          <w:szCs w:val="24"/>
        </w:rPr>
        <w:t>U.S. Stocks – Large Cap Growth Equity</w:t>
      </w:r>
    </w:p>
    <w:p w14:paraId="55D71A9C" w14:textId="77777777" w:rsidR="002616AA" w:rsidRPr="00E45250" w:rsidRDefault="002616AA" w:rsidP="002616AA">
      <w:pPr>
        <w:ind w:left="1440" w:firstLine="720"/>
        <w:jc w:val="both"/>
        <w:rPr>
          <w:rFonts w:asciiTheme="minorHAnsi" w:hAnsiTheme="minorHAnsi"/>
          <w:i/>
          <w:szCs w:val="24"/>
        </w:rPr>
      </w:pPr>
      <w:r w:rsidRPr="00E45250">
        <w:rPr>
          <w:rFonts w:asciiTheme="minorHAnsi" w:hAnsiTheme="minorHAnsi"/>
          <w:szCs w:val="24"/>
        </w:rPr>
        <w:t>Eagle Capital Management,</w:t>
      </w:r>
      <w:r w:rsidRPr="00E45250">
        <w:rPr>
          <w:rFonts w:asciiTheme="minorHAnsi" w:hAnsiTheme="minorHAnsi"/>
          <w:i/>
          <w:szCs w:val="24"/>
        </w:rPr>
        <w:t xml:space="preserve"> U.S. Stocks – Large Cap Value Equity</w:t>
      </w:r>
    </w:p>
    <w:p w14:paraId="3824C251" w14:textId="77777777" w:rsidR="002616AA" w:rsidRPr="00E45250" w:rsidRDefault="002616AA" w:rsidP="002616AA">
      <w:pPr>
        <w:ind w:left="1440" w:firstLine="720"/>
        <w:jc w:val="both"/>
        <w:rPr>
          <w:rFonts w:asciiTheme="minorHAnsi" w:hAnsiTheme="minorHAnsi"/>
          <w:i/>
          <w:szCs w:val="24"/>
        </w:rPr>
      </w:pPr>
      <w:r w:rsidRPr="00E45250">
        <w:rPr>
          <w:rFonts w:asciiTheme="minorHAnsi" w:hAnsiTheme="minorHAnsi"/>
          <w:szCs w:val="24"/>
        </w:rPr>
        <w:t>Confluence</w:t>
      </w:r>
      <w:r w:rsidRPr="00E45250">
        <w:rPr>
          <w:rFonts w:asciiTheme="minorHAnsi" w:hAnsiTheme="minorHAnsi"/>
          <w:i/>
          <w:szCs w:val="24"/>
        </w:rPr>
        <w:t>, U.S. Stocks – Large Cap Value Equity</w:t>
      </w:r>
    </w:p>
    <w:p w14:paraId="753F69A0" w14:textId="02643974" w:rsidR="002616AA" w:rsidRPr="00E45250" w:rsidRDefault="00694F2C" w:rsidP="002616AA">
      <w:pPr>
        <w:ind w:left="1440" w:firstLine="720"/>
        <w:jc w:val="both"/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szCs w:val="24"/>
        </w:rPr>
        <w:t>Great Lakes</w:t>
      </w:r>
      <w:r w:rsidR="002616AA" w:rsidRPr="00E45250">
        <w:rPr>
          <w:rFonts w:asciiTheme="minorHAnsi" w:hAnsiTheme="minorHAnsi"/>
          <w:i/>
          <w:szCs w:val="24"/>
        </w:rPr>
        <w:t>, U.S. Stocks – Large Cap Value Equity</w:t>
      </w:r>
    </w:p>
    <w:p w14:paraId="29631D2A" w14:textId="77777777" w:rsidR="002616AA" w:rsidRPr="00E45250" w:rsidRDefault="002616AA" w:rsidP="002616AA">
      <w:pPr>
        <w:ind w:left="1440" w:firstLine="720"/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 xml:space="preserve">John Hancock, </w:t>
      </w:r>
      <w:r w:rsidRPr="00E45250">
        <w:rPr>
          <w:rFonts w:asciiTheme="minorHAnsi" w:hAnsiTheme="minorHAnsi"/>
          <w:i/>
          <w:szCs w:val="24"/>
        </w:rPr>
        <w:t>Large Cap Core Equity</w:t>
      </w:r>
    </w:p>
    <w:p w14:paraId="1647EC0F" w14:textId="77777777" w:rsidR="002616AA" w:rsidRPr="00E45250" w:rsidRDefault="002616AA" w:rsidP="002616AA">
      <w:pPr>
        <w:ind w:left="1440" w:firstLine="720"/>
        <w:jc w:val="both"/>
        <w:rPr>
          <w:rFonts w:asciiTheme="minorHAnsi" w:hAnsiTheme="minorHAnsi"/>
          <w:i/>
          <w:szCs w:val="24"/>
        </w:rPr>
      </w:pPr>
      <w:r w:rsidRPr="00E45250">
        <w:rPr>
          <w:rFonts w:asciiTheme="minorHAnsi" w:hAnsiTheme="minorHAnsi"/>
          <w:szCs w:val="24"/>
        </w:rPr>
        <w:t xml:space="preserve">WCM, </w:t>
      </w:r>
      <w:r w:rsidRPr="00E45250">
        <w:rPr>
          <w:rFonts w:asciiTheme="minorHAnsi" w:hAnsiTheme="minorHAnsi"/>
          <w:i/>
          <w:szCs w:val="24"/>
        </w:rPr>
        <w:t>Non-U.S. /International Equity</w:t>
      </w:r>
    </w:p>
    <w:p w14:paraId="6037BDFC" w14:textId="77777777" w:rsidR="002616AA" w:rsidRPr="00E45250" w:rsidRDefault="002616AA" w:rsidP="002616AA">
      <w:pPr>
        <w:ind w:left="1440" w:firstLine="720"/>
        <w:jc w:val="both"/>
        <w:rPr>
          <w:rFonts w:asciiTheme="minorHAnsi" w:hAnsiTheme="minorHAnsi"/>
          <w:i/>
          <w:szCs w:val="24"/>
        </w:rPr>
      </w:pPr>
      <w:r w:rsidRPr="00E45250">
        <w:rPr>
          <w:rFonts w:asciiTheme="minorHAnsi" w:hAnsiTheme="minorHAnsi"/>
          <w:szCs w:val="24"/>
        </w:rPr>
        <w:t xml:space="preserve">Aristotle, </w:t>
      </w:r>
      <w:r w:rsidRPr="00E45250">
        <w:rPr>
          <w:rFonts w:asciiTheme="minorHAnsi" w:hAnsiTheme="minorHAnsi"/>
          <w:i/>
          <w:szCs w:val="24"/>
        </w:rPr>
        <w:t>Non-U.S. /International Equity</w:t>
      </w:r>
    </w:p>
    <w:p w14:paraId="558051C6" w14:textId="77777777" w:rsidR="002616AA" w:rsidRPr="00E45250" w:rsidRDefault="002616AA" w:rsidP="002616AA">
      <w:pPr>
        <w:ind w:left="1440" w:firstLine="720"/>
        <w:jc w:val="both"/>
        <w:rPr>
          <w:rFonts w:asciiTheme="minorHAnsi" w:hAnsiTheme="minorHAnsi"/>
          <w:i/>
          <w:szCs w:val="24"/>
        </w:rPr>
      </w:pPr>
      <w:r w:rsidRPr="00E45250">
        <w:rPr>
          <w:rFonts w:asciiTheme="minorHAnsi" w:hAnsiTheme="minorHAnsi"/>
          <w:szCs w:val="24"/>
        </w:rPr>
        <w:t xml:space="preserve">Fidelity, </w:t>
      </w:r>
      <w:r w:rsidRPr="00E45250">
        <w:rPr>
          <w:rFonts w:asciiTheme="minorHAnsi" w:hAnsiTheme="minorHAnsi"/>
          <w:i/>
          <w:szCs w:val="24"/>
        </w:rPr>
        <w:t>Non-U.S. /International Equity</w:t>
      </w:r>
    </w:p>
    <w:p w14:paraId="36CE01FB" w14:textId="77777777" w:rsidR="002616AA" w:rsidRPr="00E45250" w:rsidRDefault="002616AA" w:rsidP="002616AA">
      <w:pPr>
        <w:ind w:left="1440" w:firstLine="720"/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 xml:space="preserve">Victory, </w:t>
      </w:r>
      <w:r w:rsidRPr="00E45250">
        <w:rPr>
          <w:rFonts w:asciiTheme="minorHAnsi" w:hAnsiTheme="minorHAnsi"/>
          <w:i/>
          <w:szCs w:val="24"/>
        </w:rPr>
        <w:t>Non-U.S. /International Equity</w:t>
      </w:r>
    </w:p>
    <w:p w14:paraId="182EC6FD" w14:textId="77777777" w:rsidR="002616AA" w:rsidRPr="00E45250" w:rsidRDefault="002616AA" w:rsidP="002616AA">
      <w:pPr>
        <w:ind w:left="1440" w:firstLine="720"/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 xml:space="preserve">Earnest Partners, </w:t>
      </w:r>
      <w:r w:rsidRPr="00E45250">
        <w:rPr>
          <w:rFonts w:asciiTheme="minorHAnsi" w:hAnsiTheme="minorHAnsi"/>
          <w:i/>
          <w:szCs w:val="24"/>
        </w:rPr>
        <w:t xml:space="preserve">U.S.  Stocks – </w:t>
      </w:r>
      <w:proofErr w:type="spellStart"/>
      <w:r w:rsidRPr="00E45250">
        <w:rPr>
          <w:rFonts w:asciiTheme="minorHAnsi" w:hAnsiTheme="minorHAnsi"/>
          <w:i/>
          <w:szCs w:val="24"/>
        </w:rPr>
        <w:t>Sm</w:t>
      </w:r>
      <w:proofErr w:type="spellEnd"/>
      <w:r w:rsidRPr="00E45250">
        <w:rPr>
          <w:rFonts w:asciiTheme="minorHAnsi" w:hAnsiTheme="minorHAnsi"/>
          <w:i/>
          <w:szCs w:val="24"/>
        </w:rPr>
        <w:t>/Mid Cap Core Equity</w:t>
      </w:r>
    </w:p>
    <w:p w14:paraId="5594925A" w14:textId="77777777" w:rsidR="002616AA" w:rsidRPr="00E45250" w:rsidRDefault="002616AA" w:rsidP="002616AA">
      <w:pPr>
        <w:ind w:left="2160"/>
        <w:jc w:val="both"/>
        <w:rPr>
          <w:rFonts w:asciiTheme="minorHAnsi" w:hAnsiTheme="minorHAnsi"/>
          <w:i/>
          <w:szCs w:val="24"/>
        </w:rPr>
      </w:pPr>
      <w:proofErr w:type="spellStart"/>
      <w:r w:rsidRPr="00E45250">
        <w:rPr>
          <w:rFonts w:asciiTheme="minorHAnsi" w:hAnsiTheme="minorHAnsi"/>
          <w:szCs w:val="24"/>
        </w:rPr>
        <w:t>MetWest</w:t>
      </w:r>
      <w:proofErr w:type="spellEnd"/>
      <w:r w:rsidRPr="00E45250">
        <w:rPr>
          <w:rFonts w:asciiTheme="minorHAnsi" w:hAnsiTheme="minorHAnsi"/>
          <w:szCs w:val="24"/>
        </w:rPr>
        <w:t xml:space="preserve">, </w:t>
      </w:r>
      <w:r w:rsidRPr="00E45250">
        <w:rPr>
          <w:rFonts w:asciiTheme="minorHAnsi" w:hAnsiTheme="minorHAnsi"/>
          <w:i/>
          <w:szCs w:val="24"/>
        </w:rPr>
        <w:t>Domestic fixed income</w:t>
      </w:r>
    </w:p>
    <w:p w14:paraId="3FBF7A9C" w14:textId="70A7C892" w:rsidR="002616AA" w:rsidRPr="00E45250" w:rsidRDefault="004E0CEC" w:rsidP="002616AA">
      <w:pPr>
        <w:ind w:left="1440" w:firstLine="720"/>
        <w:jc w:val="both"/>
        <w:rPr>
          <w:rFonts w:asciiTheme="minorHAnsi" w:hAnsiTheme="minorHAnsi"/>
          <w:i/>
          <w:szCs w:val="24"/>
        </w:rPr>
      </w:pPr>
      <w:proofErr w:type="spellStart"/>
      <w:proofErr w:type="gramStart"/>
      <w:r>
        <w:rPr>
          <w:rFonts w:asciiTheme="minorHAnsi" w:hAnsiTheme="minorHAnsi"/>
          <w:szCs w:val="24"/>
        </w:rPr>
        <w:t>Allspring</w:t>
      </w:r>
      <w:proofErr w:type="spellEnd"/>
      <w:proofErr w:type="gramEnd"/>
      <w:r w:rsidR="002616AA" w:rsidRPr="00E45250">
        <w:rPr>
          <w:rFonts w:asciiTheme="minorHAnsi" w:hAnsiTheme="minorHAnsi"/>
          <w:szCs w:val="24"/>
        </w:rPr>
        <w:t xml:space="preserve">, </w:t>
      </w:r>
      <w:r w:rsidR="002616AA" w:rsidRPr="00E45250">
        <w:rPr>
          <w:rFonts w:asciiTheme="minorHAnsi" w:hAnsiTheme="minorHAnsi"/>
          <w:i/>
          <w:szCs w:val="24"/>
        </w:rPr>
        <w:t>Domestic fixed income</w:t>
      </w:r>
    </w:p>
    <w:p w14:paraId="2FCF8C70" w14:textId="77777777" w:rsidR="002616AA" w:rsidRPr="00E45250" w:rsidRDefault="002616AA" w:rsidP="002616AA">
      <w:pPr>
        <w:ind w:left="1440" w:firstLine="720"/>
        <w:jc w:val="both"/>
        <w:rPr>
          <w:rFonts w:asciiTheme="minorHAnsi" w:hAnsiTheme="minorHAnsi"/>
          <w:i/>
          <w:szCs w:val="24"/>
        </w:rPr>
      </w:pPr>
      <w:r w:rsidRPr="00E45250">
        <w:rPr>
          <w:rFonts w:asciiTheme="minorHAnsi" w:hAnsiTheme="minorHAnsi"/>
          <w:szCs w:val="24"/>
        </w:rPr>
        <w:t xml:space="preserve">Intercontinental, </w:t>
      </w:r>
      <w:r w:rsidRPr="00E45250">
        <w:rPr>
          <w:rFonts w:asciiTheme="minorHAnsi" w:hAnsiTheme="minorHAnsi"/>
          <w:i/>
          <w:szCs w:val="24"/>
        </w:rPr>
        <w:t>Real Estate</w:t>
      </w:r>
    </w:p>
    <w:p w14:paraId="391BF115" w14:textId="07D42C0B" w:rsidR="00FF5431" w:rsidRPr="00E45250" w:rsidRDefault="00FF5431" w:rsidP="002616AA">
      <w:pPr>
        <w:ind w:left="1440" w:firstLine="720"/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>American</w:t>
      </w:r>
      <w:r w:rsidR="005C64EA">
        <w:rPr>
          <w:rFonts w:asciiTheme="minorHAnsi" w:hAnsiTheme="minorHAnsi"/>
          <w:szCs w:val="24"/>
        </w:rPr>
        <w:t xml:space="preserve"> Core</w:t>
      </w:r>
      <w:r w:rsidRPr="00E45250">
        <w:rPr>
          <w:rFonts w:asciiTheme="minorHAnsi" w:hAnsiTheme="minorHAnsi"/>
          <w:szCs w:val="24"/>
        </w:rPr>
        <w:t xml:space="preserve"> Realty Advisors, </w:t>
      </w:r>
      <w:r w:rsidRPr="00E45250">
        <w:rPr>
          <w:rFonts w:asciiTheme="minorHAnsi" w:hAnsiTheme="minorHAnsi"/>
          <w:i/>
          <w:szCs w:val="24"/>
        </w:rPr>
        <w:t>Real Estate</w:t>
      </w:r>
    </w:p>
    <w:p w14:paraId="484B6F64" w14:textId="738D06A4" w:rsidR="002616AA" w:rsidRPr="00E45250" w:rsidRDefault="005101C4" w:rsidP="002616AA">
      <w:pPr>
        <w:ind w:left="1440" w:firstLine="72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GQG</w:t>
      </w:r>
      <w:r w:rsidR="002616AA" w:rsidRPr="00E45250">
        <w:rPr>
          <w:rFonts w:asciiTheme="minorHAnsi" w:hAnsiTheme="minorHAnsi"/>
          <w:szCs w:val="24"/>
        </w:rPr>
        <w:t xml:space="preserve">, </w:t>
      </w:r>
      <w:r w:rsidR="002616AA" w:rsidRPr="00E45250">
        <w:rPr>
          <w:rFonts w:asciiTheme="minorHAnsi" w:hAnsiTheme="minorHAnsi"/>
          <w:i/>
          <w:szCs w:val="24"/>
        </w:rPr>
        <w:t>Emerging Markets</w:t>
      </w:r>
    </w:p>
    <w:p w14:paraId="10FD2CD8" w14:textId="5E031EC4" w:rsidR="002616AA" w:rsidRDefault="002616AA" w:rsidP="002616AA">
      <w:pPr>
        <w:ind w:left="1440" w:firstLine="720"/>
        <w:jc w:val="both"/>
        <w:rPr>
          <w:rFonts w:asciiTheme="minorHAnsi" w:hAnsiTheme="minorHAnsi"/>
          <w:i/>
          <w:szCs w:val="24"/>
        </w:rPr>
      </w:pPr>
      <w:r w:rsidRPr="00E45250">
        <w:rPr>
          <w:rFonts w:asciiTheme="minorHAnsi" w:hAnsiTheme="minorHAnsi"/>
          <w:szCs w:val="24"/>
        </w:rPr>
        <w:t xml:space="preserve">Energy Income Partners, </w:t>
      </w:r>
      <w:r w:rsidRPr="00E45250">
        <w:rPr>
          <w:rFonts w:asciiTheme="minorHAnsi" w:hAnsiTheme="minorHAnsi"/>
          <w:i/>
          <w:szCs w:val="24"/>
        </w:rPr>
        <w:t>Alternative Investment</w:t>
      </w:r>
    </w:p>
    <w:p w14:paraId="38C0336C" w14:textId="79F9B10A" w:rsidR="00587904" w:rsidRPr="00735ECB" w:rsidRDefault="00587904" w:rsidP="002616AA">
      <w:pPr>
        <w:ind w:left="1440" w:firstLine="720"/>
        <w:jc w:val="both"/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szCs w:val="24"/>
        </w:rPr>
        <w:t>Cohen &amp; Steers</w:t>
      </w:r>
      <w:r w:rsidR="00735ECB">
        <w:rPr>
          <w:rFonts w:asciiTheme="minorHAnsi" w:hAnsiTheme="minorHAnsi"/>
          <w:szCs w:val="24"/>
        </w:rPr>
        <w:t xml:space="preserve">, </w:t>
      </w:r>
      <w:r w:rsidR="00735ECB">
        <w:rPr>
          <w:rFonts w:asciiTheme="minorHAnsi" w:hAnsiTheme="minorHAnsi"/>
          <w:i/>
          <w:szCs w:val="24"/>
        </w:rPr>
        <w:t>Infrastructure funds</w:t>
      </w:r>
    </w:p>
    <w:p w14:paraId="2D92EC52" w14:textId="2A11BE32" w:rsidR="00587904" w:rsidRPr="00735ECB" w:rsidRDefault="00587904" w:rsidP="002616AA">
      <w:pPr>
        <w:ind w:left="1440" w:firstLine="720"/>
        <w:jc w:val="both"/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szCs w:val="24"/>
        </w:rPr>
        <w:t>Lazard</w:t>
      </w:r>
      <w:r w:rsidR="00735ECB">
        <w:rPr>
          <w:rFonts w:asciiTheme="minorHAnsi" w:hAnsiTheme="minorHAnsi"/>
          <w:szCs w:val="24"/>
        </w:rPr>
        <w:t xml:space="preserve">, </w:t>
      </w:r>
      <w:r w:rsidR="00735ECB">
        <w:rPr>
          <w:rFonts w:asciiTheme="minorHAnsi" w:hAnsiTheme="minorHAnsi"/>
          <w:i/>
          <w:szCs w:val="24"/>
        </w:rPr>
        <w:t>Infrastructure funds</w:t>
      </w:r>
    </w:p>
    <w:p w14:paraId="6DA81095" w14:textId="3B3CDDE4" w:rsidR="00587904" w:rsidRDefault="00587904" w:rsidP="002616AA">
      <w:pPr>
        <w:ind w:left="1440" w:firstLine="720"/>
        <w:jc w:val="both"/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szCs w:val="24"/>
        </w:rPr>
        <w:t>SEG</w:t>
      </w:r>
      <w:r w:rsidR="00735ECB">
        <w:rPr>
          <w:rFonts w:asciiTheme="minorHAnsi" w:hAnsiTheme="minorHAnsi"/>
          <w:i/>
          <w:szCs w:val="24"/>
        </w:rPr>
        <w:t>, Hedge funds</w:t>
      </w:r>
    </w:p>
    <w:p w14:paraId="5DB3BCDA" w14:textId="4004694F" w:rsidR="005101C4" w:rsidRDefault="005101C4" w:rsidP="002616AA">
      <w:pPr>
        <w:ind w:left="1440" w:firstLine="72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Blackstone, </w:t>
      </w:r>
      <w:r>
        <w:rPr>
          <w:rFonts w:asciiTheme="minorHAnsi" w:hAnsiTheme="minorHAnsi"/>
          <w:i/>
          <w:iCs/>
          <w:szCs w:val="24"/>
        </w:rPr>
        <w:t>Private Credit</w:t>
      </w:r>
    </w:p>
    <w:p w14:paraId="770FD981" w14:textId="1528DD41" w:rsidR="005101C4" w:rsidRDefault="005101C4" w:rsidP="002616AA">
      <w:pPr>
        <w:ind w:left="1440" w:firstLine="720"/>
        <w:jc w:val="both"/>
        <w:rPr>
          <w:rFonts w:asciiTheme="minorHAnsi" w:hAnsiTheme="minorHAnsi"/>
          <w:i/>
          <w:iCs/>
          <w:szCs w:val="24"/>
        </w:rPr>
      </w:pPr>
      <w:r>
        <w:rPr>
          <w:rFonts w:asciiTheme="minorHAnsi" w:hAnsiTheme="minorHAnsi"/>
          <w:szCs w:val="24"/>
        </w:rPr>
        <w:t xml:space="preserve">Cion Ares, </w:t>
      </w:r>
      <w:r>
        <w:rPr>
          <w:rFonts w:asciiTheme="minorHAnsi" w:hAnsiTheme="minorHAnsi"/>
          <w:i/>
          <w:iCs/>
          <w:szCs w:val="24"/>
        </w:rPr>
        <w:t>Private Credit</w:t>
      </w:r>
    </w:p>
    <w:p w14:paraId="721C3772" w14:textId="50AA2458" w:rsidR="005101C4" w:rsidRPr="005101C4" w:rsidRDefault="005101C4" w:rsidP="002616AA">
      <w:pPr>
        <w:ind w:left="1440" w:firstLine="720"/>
        <w:jc w:val="both"/>
        <w:rPr>
          <w:rFonts w:asciiTheme="minorHAnsi" w:hAnsiTheme="minorHAnsi"/>
          <w:szCs w:val="24"/>
        </w:rPr>
      </w:pPr>
      <w:proofErr w:type="spellStart"/>
      <w:r>
        <w:rPr>
          <w:rFonts w:asciiTheme="minorHAnsi" w:hAnsiTheme="minorHAnsi"/>
          <w:szCs w:val="24"/>
        </w:rPr>
        <w:t>Pamona</w:t>
      </w:r>
      <w:proofErr w:type="spellEnd"/>
      <w:r>
        <w:rPr>
          <w:rFonts w:asciiTheme="minorHAnsi" w:hAnsiTheme="minorHAnsi"/>
          <w:szCs w:val="24"/>
        </w:rPr>
        <w:t xml:space="preserve">, </w:t>
      </w:r>
      <w:r>
        <w:rPr>
          <w:rFonts w:asciiTheme="minorHAnsi" w:hAnsiTheme="minorHAnsi"/>
          <w:i/>
          <w:iCs/>
          <w:szCs w:val="24"/>
        </w:rPr>
        <w:t>Private Equity</w:t>
      </w:r>
    </w:p>
    <w:p w14:paraId="3850E89E" w14:textId="0273FF6E" w:rsidR="00032395" w:rsidRPr="00E45250" w:rsidRDefault="00032395" w:rsidP="002616AA">
      <w:pPr>
        <w:ind w:firstLine="720"/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  <w:t>4.</w:t>
      </w:r>
      <w:r w:rsidRPr="00E45250">
        <w:rPr>
          <w:rFonts w:asciiTheme="minorHAnsi" w:hAnsiTheme="minorHAnsi"/>
          <w:szCs w:val="24"/>
        </w:rPr>
        <w:tab/>
        <w:t>Custodial Bank - Comerica Bank</w:t>
      </w:r>
    </w:p>
    <w:p w14:paraId="12F8C5F3" w14:textId="77777777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  <w:t>c.</w:t>
      </w:r>
      <w:r w:rsidRPr="00E45250">
        <w:rPr>
          <w:rFonts w:asciiTheme="minorHAnsi" w:hAnsiTheme="minorHAnsi"/>
          <w:szCs w:val="24"/>
        </w:rPr>
        <w:tab/>
        <w:t>Names of the Retirement System’s service providers</w:t>
      </w:r>
    </w:p>
    <w:p w14:paraId="51970253" w14:textId="26786782" w:rsidR="00032395" w:rsidRPr="00E45250" w:rsidRDefault="00032395" w:rsidP="002F0590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1.</w:t>
      </w:r>
      <w:r w:rsidRPr="00E45250">
        <w:rPr>
          <w:rFonts w:asciiTheme="minorHAnsi" w:hAnsiTheme="minorHAnsi"/>
          <w:szCs w:val="24"/>
        </w:rPr>
        <w:tab/>
        <w:t xml:space="preserve">Actuary </w:t>
      </w:r>
      <w:r w:rsidR="00FC6AB7" w:rsidRPr="00E45250">
        <w:rPr>
          <w:rFonts w:asciiTheme="minorHAnsi" w:hAnsiTheme="minorHAnsi"/>
          <w:szCs w:val="24"/>
        </w:rPr>
        <w:t>–</w:t>
      </w:r>
      <w:r w:rsidRPr="00E45250">
        <w:rPr>
          <w:rFonts w:asciiTheme="minorHAnsi" w:hAnsiTheme="minorHAnsi"/>
          <w:szCs w:val="24"/>
        </w:rPr>
        <w:t xml:space="preserve"> </w:t>
      </w:r>
      <w:r w:rsidR="009E2852">
        <w:rPr>
          <w:rFonts w:asciiTheme="minorHAnsi" w:hAnsiTheme="minorHAnsi"/>
          <w:szCs w:val="24"/>
        </w:rPr>
        <w:t>Gabriel,</w:t>
      </w:r>
      <w:r w:rsidR="00FC6AB7" w:rsidRPr="00E45250">
        <w:rPr>
          <w:rFonts w:asciiTheme="minorHAnsi" w:hAnsiTheme="minorHAnsi"/>
          <w:szCs w:val="24"/>
        </w:rPr>
        <w:t xml:space="preserve"> Roeder, Smith &amp;</w:t>
      </w:r>
      <w:r w:rsidRPr="00E45250">
        <w:rPr>
          <w:rFonts w:asciiTheme="minorHAnsi" w:hAnsiTheme="minorHAnsi"/>
          <w:szCs w:val="24"/>
        </w:rPr>
        <w:t xml:space="preserve"> Company</w:t>
      </w:r>
    </w:p>
    <w:p w14:paraId="294116BA" w14:textId="210E7128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</w:r>
      <w:r w:rsidR="002F0590" w:rsidRPr="00E45250">
        <w:rPr>
          <w:rFonts w:asciiTheme="minorHAnsi" w:hAnsiTheme="minorHAnsi"/>
          <w:szCs w:val="24"/>
        </w:rPr>
        <w:t>2</w:t>
      </w:r>
      <w:r w:rsidRPr="00E45250">
        <w:rPr>
          <w:rFonts w:asciiTheme="minorHAnsi" w:hAnsiTheme="minorHAnsi"/>
          <w:szCs w:val="24"/>
        </w:rPr>
        <w:t>.</w:t>
      </w:r>
      <w:r w:rsidRPr="00E45250">
        <w:rPr>
          <w:rFonts w:asciiTheme="minorHAnsi" w:hAnsiTheme="minorHAnsi"/>
          <w:szCs w:val="24"/>
        </w:rPr>
        <w:tab/>
        <w:t xml:space="preserve">Attorney - VanOverbeke, Michaud &amp; </w:t>
      </w:r>
      <w:proofErr w:type="spellStart"/>
      <w:r w:rsidRPr="00E45250">
        <w:rPr>
          <w:rFonts w:asciiTheme="minorHAnsi" w:hAnsiTheme="minorHAnsi"/>
          <w:szCs w:val="24"/>
        </w:rPr>
        <w:t>Timmony</w:t>
      </w:r>
      <w:proofErr w:type="spellEnd"/>
      <w:r w:rsidRPr="00E45250">
        <w:rPr>
          <w:rFonts w:asciiTheme="minorHAnsi" w:hAnsiTheme="minorHAnsi"/>
          <w:szCs w:val="24"/>
        </w:rPr>
        <w:t>, P.C.</w:t>
      </w:r>
    </w:p>
    <w:p w14:paraId="4111989D" w14:textId="41D2334C" w:rsidR="00032395" w:rsidRPr="00E45250" w:rsidRDefault="002F0590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3</w:t>
      </w:r>
      <w:r w:rsidR="00032395" w:rsidRPr="00E45250">
        <w:rPr>
          <w:rFonts w:asciiTheme="minorHAnsi" w:hAnsiTheme="minorHAnsi"/>
          <w:szCs w:val="24"/>
        </w:rPr>
        <w:t>.</w:t>
      </w:r>
      <w:r w:rsidR="00032395" w:rsidRPr="00E45250">
        <w:rPr>
          <w:rFonts w:asciiTheme="minorHAnsi" w:hAnsiTheme="minorHAnsi"/>
          <w:szCs w:val="24"/>
        </w:rPr>
        <w:tab/>
        <w:t>Auditors/Accountant</w:t>
      </w:r>
      <w:r w:rsidR="00FF5431" w:rsidRPr="00E45250">
        <w:rPr>
          <w:rFonts w:asciiTheme="minorHAnsi" w:hAnsiTheme="minorHAnsi"/>
          <w:szCs w:val="24"/>
        </w:rPr>
        <w:t xml:space="preserve"> – </w:t>
      </w:r>
      <w:r w:rsidR="002158F8">
        <w:rPr>
          <w:rFonts w:asciiTheme="minorHAnsi" w:hAnsiTheme="minorHAnsi"/>
          <w:szCs w:val="24"/>
        </w:rPr>
        <w:t>Rehman</w:t>
      </w:r>
      <w:r w:rsidR="00E23083">
        <w:rPr>
          <w:rFonts w:asciiTheme="minorHAnsi" w:hAnsiTheme="minorHAnsi"/>
          <w:szCs w:val="24"/>
        </w:rPr>
        <w:t>n</w:t>
      </w:r>
      <w:r w:rsidR="002158F8">
        <w:rPr>
          <w:rFonts w:asciiTheme="minorHAnsi" w:hAnsiTheme="minorHAnsi"/>
          <w:szCs w:val="24"/>
        </w:rPr>
        <w:t xml:space="preserve"> Robson, LLC</w:t>
      </w:r>
    </w:p>
    <w:p w14:paraId="5B189DF8" w14:textId="62A007BE" w:rsidR="00032395" w:rsidRPr="00E45250" w:rsidRDefault="002F0590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4</w:t>
      </w:r>
      <w:r w:rsidR="00032395" w:rsidRPr="00E45250">
        <w:rPr>
          <w:rFonts w:asciiTheme="minorHAnsi" w:hAnsiTheme="minorHAnsi"/>
          <w:szCs w:val="24"/>
        </w:rPr>
        <w:t>.</w:t>
      </w:r>
      <w:r w:rsidR="00032395" w:rsidRPr="00E45250">
        <w:rPr>
          <w:rFonts w:asciiTheme="minorHAnsi" w:hAnsiTheme="minorHAnsi"/>
          <w:szCs w:val="24"/>
        </w:rPr>
        <w:tab/>
        <w:t>Medical Director - MES Solutions</w:t>
      </w:r>
    </w:p>
    <w:p w14:paraId="5A711240" w14:textId="71DB654A" w:rsidR="00032395" w:rsidRPr="00E45250" w:rsidRDefault="009E2852" w:rsidP="00032395">
      <w:pPr>
        <w:ind w:left="720" w:firstLine="72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5.</w:t>
      </w:r>
      <w:r>
        <w:rPr>
          <w:rFonts w:asciiTheme="minorHAnsi" w:hAnsiTheme="minorHAnsi"/>
          <w:szCs w:val="24"/>
        </w:rPr>
        <w:tab/>
        <w:t xml:space="preserve">Gurin &amp; Gurin - </w:t>
      </w:r>
      <w:r w:rsidR="002F0590" w:rsidRPr="00E45250">
        <w:rPr>
          <w:rFonts w:asciiTheme="minorHAnsi" w:hAnsiTheme="minorHAnsi"/>
          <w:szCs w:val="24"/>
        </w:rPr>
        <w:t>E</w:t>
      </w:r>
      <w:r w:rsidR="00032395" w:rsidRPr="00E45250">
        <w:rPr>
          <w:rFonts w:asciiTheme="minorHAnsi" w:hAnsiTheme="minorHAnsi"/>
          <w:szCs w:val="24"/>
        </w:rPr>
        <w:t xml:space="preserve">mployee </w:t>
      </w:r>
      <w:r w:rsidR="002F0590" w:rsidRPr="00E45250">
        <w:rPr>
          <w:rFonts w:asciiTheme="minorHAnsi" w:hAnsiTheme="minorHAnsi"/>
          <w:szCs w:val="24"/>
        </w:rPr>
        <w:t>P</w:t>
      </w:r>
      <w:r w:rsidR="00032395" w:rsidRPr="00E45250">
        <w:rPr>
          <w:rFonts w:asciiTheme="minorHAnsi" w:hAnsiTheme="minorHAnsi"/>
          <w:szCs w:val="24"/>
        </w:rPr>
        <w:t>ayroll</w:t>
      </w:r>
    </w:p>
    <w:p w14:paraId="3ED61550" w14:textId="29194D72" w:rsidR="00032395" w:rsidRDefault="002F0590" w:rsidP="00032395">
      <w:pPr>
        <w:ind w:left="720" w:firstLine="720"/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>6</w:t>
      </w:r>
      <w:r w:rsidR="00032395" w:rsidRPr="00E45250">
        <w:rPr>
          <w:rFonts w:asciiTheme="minorHAnsi" w:hAnsiTheme="minorHAnsi"/>
          <w:szCs w:val="24"/>
        </w:rPr>
        <w:t>.</w:t>
      </w:r>
      <w:r w:rsidR="00032395" w:rsidRPr="00E45250">
        <w:rPr>
          <w:rFonts w:asciiTheme="minorHAnsi" w:hAnsiTheme="minorHAnsi"/>
          <w:szCs w:val="24"/>
        </w:rPr>
        <w:tab/>
      </w:r>
      <w:r w:rsidR="00195474" w:rsidRPr="00E45250">
        <w:rPr>
          <w:rFonts w:asciiTheme="minorHAnsi" w:hAnsiTheme="minorHAnsi"/>
          <w:szCs w:val="24"/>
        </w:rPr>
        <w:t>Kerrie Dzwonkowski</w:t>
      </w:r>
      <w:r w:rsidR="00032395" w:rsidRPr="00E45250">
        <w:rPr>
          <w:rFonts w:asciiTheme="minorHAnsi" w:hAnsiTheme="minorHAnsi"/>
          <w:szCs w:val="24"/>
        </w:rPr>
        <w:t xml:space="preserve">, Pension </w:t>
      </w:r>
      <w:r w:rsidR="00E45250" w:rsidRPr="00E45250">
        <w:rPr>
          <w:rFonts w:asciiTheme="minorHAnsi" w:hAnsiTheme="minorHAnsi"/>
          <w:szCs w:val="24"/>
        </w:rPr>
        <w:t>Administrator</w:t>
      </w:r>
    </w:p>
    <w:p w14:paraId="4ABCCB2E" w14:textId="77777777" w:rsidR="00735ECB" w:rsidRPr="00E45250" w:rsidRDefault="00735ECB" w:rsidP="00032395">
      <w:pPr>
        <w:ind w:left="720" w:firstLine="720"/>
        <w:jc w:val="both"/>
        <w:rPr>
          <w:rFonts w:asciiTheme="minorHAnsi" w:hAnsiTheme="minorHAnsi"/>
          <w:szCs w:val="24"/>
        </w:rPr>
      </w:pPr>
    </w:p>
    <w:p w14:paraId="40D382C8" w14:textId="77777777" w:rsidR="00587904" w:rsidRDefault="00587904" w:rsidP="00032395">
      <w:pPr>
        <w:jc w:val="both"/>
        <w:rPr>
          <w:rFonts w:asciiTheme="minorHAnsi" w:hAnsiTheme="minorHAnsi"/>
          <w:b/>
          <w:szCs w:val="24"/>
        </w:rPr>
      </w:pPr>
    </w:p>
    <w:p w14:paraId="02E66A35" w14:textId="5C85321E" w:rsidR="002158F8" w:rsidRPr="00E45250" w:rsidRDefault="00032395" w:rsidP="00032395">
      <w:pPr>
        <w:jc w:val="both"/>
        <w:rPr>
          <w:rFonts w:asciiTheme="minorHAnsi" w:hAnsiTheme="minorHAnsi"/>
          <w:b/>
          <w:szCs w:val="24"/>
        </w:rPr>
      </w:pPr>
      <w:r w:rsidRPr="00E45250">
        <w:rPr>
          <w:rFonts w:asciiTheme="minorHAnsi" w:hAnsiTheme="minorHAnsi"/>
          <w:b/>
          <w:szCs w:val="24"/>
        </w:rPr>
        <w:lastRenderedPageBreak/>
        <w:t>II.</w:t>
      </w:r>
      <w:r w:rsidRPr="00E45250">
        <w:rPr>
          <w:rFonts w:asciiTheme="minorHAnsi" w:hAnsiTheme="minorHAnsi"/>
          <w:b/>
          <w:szCs w:val="24"/>
        </w:rPr>
        <w:tab/>
        <w:t>ASSET/INVESTMENT INFORMATION</w:t>
      </w:r>
      <w:r w:rsidR="00E45250" w:rsidRPr="00E45250">
        <w:rPr>
          <w:rFonts w:asciiTheme="minorHAnsi" w:hAnsiTheme="minorHAnsi"/>
          <w:b/>
          <w:szCs w:val="24"/>
        </w:rPr>
        <w:t xml:space="preserve"> – 6/30/2</w:t>
      </w:r>
      <w:r w:rsidR="002158F8">
        <w:rPr>
          <w:rFonts w:asciiTheme="minorHAnsi" w:hAnsiTheme="minorHAnsi"/>
          <w:b/>
          <w:szCs w:val="24"/>
        </w:rPr>
        <w:t>5</w:t>
      </w:r>
    </w:p>
    <w:p w14:paraId="46CFC204" w14:textId="77777777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  <w:t>a.</w:t>
      </w:r>
      <w:r w:rsidRPr="00E45250">
        <w:rPr>
          <w:rFonts w:asciiTheme="minorHAnsi" w:hAnsiTheme="minorHAnsi"/>
          <w:szCs w:val="24"/>
        </w:rPr>
        <w:tab/>
        <w:t>Assets and Liabilities</w:t>
      </w:r>
    </w:p>
    <w:p w14:paraId="6B7F8949" w14:textId="6F2C285A" w:rsidR="00E45250" w:rsidRDefault="00032395" w:rsidP="00587904">
      <w:pPr>
        <w:ind w:left="2160" w:hanging="720"/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>1.</w:t>
      </w:r>
      <w:r w:rsidRPr="00E45250">
        <w:rPr>
          <w:rFonts w:asciiTheme="minorHAnsi" w:hAnsiTheme="minorHAnsi"/>
          <w:szCs w:val="24"/>
        </w:rPr>
        <w:tab/>
        <w:t>including changes in net plan assets on a plan-year basis - $</w:t>
      </w:r>
      <w:r w:rsidR="00736ADE">
        <w:rPr>
          <w:rFonts w:asciiTheme="minorHAnsi" w:hAnsiTheme="minorHAnsi"/>
          <w:szCs w:val="24"/>
        </w:rPr>
        <w:t>259,286,829/405,491,629</w:t>
      </w:r>
    </w:p>
    <w:p w14:paraId="2A4BC68E" w14:textId="34E25FBC" w:rsidR="00032395" w:rsidRPr="00E45250" w:rsidRDefault="00032395" w:rsidP="00E45250">
      <w:pPr>
        <w:ind w:firstLine="720"/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>b.</w:t>
      </w:r>
      <w:r w:rsidRPr="00E45250">
        <w:rPr>
          <w:rFonts w:asciiTheme="minorHAnsi" w:hAnsiTheme="minorHAnsi"/>
          <w:szCs w:val="24"/>
        </w:rPr>
        <w:tab/>
        <w:t>Investment Performance</w:t>
      </w:r>
    </w:p>
    <w:p w14:paraId="380CF38D" w14:textId="77777777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1.</w:t>
      </w:r>
      <w:r w:rsidRPr="00E45250">
        <w:rPr>
          <w:rFonts w:asciiTheme="minorHAnsi" w:hAnsiTheme="minorHAnsi"/>
          <w:szCs w:val="24"/>
        </w:rPr>
        <w:tab/>
        <w:t>net of fees on a rolling calendar y</w:t>
      </w:r>
      <w:r w:rsidR="00336544" w:rsidRPr="00E45250">
        <w:rPr>
          <w:rFonts w:asciiTheme="minorHAnsi" w:hAnsiTheme="minorHAnsi"/>
          <w:szCs w:val="24"/>
        </w:rPr>
        <w:t>ear basis for the prior 1, 3, 5</w:t>
      </w:r>
      <w:r w:rsidRPr="00E45250">
        <w:rPr>
          <w:rFonts w:asciiTheme="minorHAnsi" w:hAnsiTheme="minorHAnsi"/>
          <w:szCs w:val="24"/>
        </w:rPr>
        <w:t xml:space="preserve"> and 10</w:t>
      </w:r>
    </w:p>
    <w:p w14:paraId="63E84A60" w14:textId="77777777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 xml:space="preserve"> </w:t>
      </w: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years</w:t>
      </w:r>
    </w:p>
    <w:p w14:paraId="4D440FB8" w14:textId="77777777" w:rsidR="00032395" w:rsidRPr="00E45250" w:rsidRDefault="00032395" w:rsidP="00032395">
      <w:pPr>
        <w:ind w:left="720" w:firstLine="720"/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>The system’s investment performance is detailed below:</w:t>
      </w:r>
    </w:p>
    <w:p w14:paraId="47A814D6" w14:textId="5C5D24CE" w:rsidR="00E45250" w:rsidRPr="00E45250" w:rsidRDefault="00E45250" w:rsidP="00363FB1">
      <w:pPr>
        <w:ind w:left="2160" w:firstLine="720"/>
        <w:jc w:val="both"/>
        <w:rPr>
          <w:rFonts w:asciiTheme="minorHAnsi" w:eastAsia="Times" w:hAnsiTheme="minorHAnsi"/>
          <w:color w:val="000000"/>
          <w:szCs w:val="24"/>
        </w:rPr>
      </w:pPr>
      <w:r w:rsidRPr="00E45250">
        <w:rPr>
          <w:rFonts w:asciiTheme="minorHAnsi" w:eastAsia="Times" w:hAnsiTheme="minorHAnsi"/>
          <w:color w:val="000000"/>
          <w:szCs w:val="24"/>
        </w:rPr>
        <w:t>6/</w:t>
      </w:r>
      <w:r w:rsidR="00043AD4">
        <w:rPr>
          <w:rFonts w:asciiTheme="minorHAnsi" w:eastAsia="Times" w:hAnsiTheme="minorHAnsi"/>
          <w:color w:val="000000"/>
          <w:szCs w:val="24"/>
        </w:rPr>
        <w:t>2</w:t>
      </w:r>
      <w:r w:rsidR="002158F8">
        <w:rPr>
          <w:rFonts w:asciiTheme="minorHAnsi" w:eastAsia="Times" w:hAnsiTheme="minorHAnsi"/>
          <w:color w:val="000000"/>
          <w:szCs w:val="24"/>
        </w:rPr>
        <w:t>4</w:t>
      </w:r>
      <w:r w:rsidR="001F0442">
        <w:rPr>
          <w:rFonts w:asciiTheme="minorHAnsi" w:eastAsia="Times" w:hAnsiTheme="minorHAnsi"/>
          <w:color w:val="000000"/>
          <w:szCs w:val="24"/>
        </w:rPr>
        <w:tab/>
      </w:r>
      <w:r w:rsidR="001F0442">
        <w:rPr>
          <w:rFonts w:asciiTheme="minorHAnsi" w:eastAsia="Times" w:hAnsiTheme="minorHAnsi"/>
          <w:color w:val="000000"/>
          <w:szCs w:val="24"/>
        </w:rPr>
        <w:tab/>
        <w:t>6/2</w:t>
      </w:r>
      <w:r w:rsidR="002158F8">
        <w:rPr>
          <w:rFonts w:asciiTheme="minorHAnsi" w:eastAsia="Times" w:hAnsiTheme="minorHAnsi"/>
          <w:color w:val="000000"/>
          <w:szCs w:val="24"/>
        </w:rPr>
        <w:t>2</w:t>
      </w:r>
      <w:r w:rsidRPr="00E45250">
        <w:rPr>
          <w:rFonts w:asciiTheme="minorHAnsi" w:eastAsia="Times" w:hAnsiTheme="minorHAnsi"/>
          <w:color w:val="000000"/>
          <w:szCs w:val="24"/>
        </w:rPr>
        <w:tab/>
      </w:r>
      <w:r w:rsidRPr="00E45250">
        <w:rPr>
          <w:rFonts w:asciiTheme="minorHAnsi" w:eastAsia="Times" w:hAnsiTheme="minorHAnsi"/>
          <w:color w:val="000000"/>
          <w:szCs w:val="24"/>
        </w:rPr>
        <w:tab/>
        <w:t>6/</w:t>
      </w:r>
      <w:r w:rsidR="002158F8">
        <w:rPr>
          <w:rFonts w:asciiTheme="minorHAnsi" w:eastAsia="Times" w:hAnsiTheme="minorHAnsi"/>
          <w:color w:val="000000"/>
          <w:szCs w:val="24"/>
        </w:rPr>
        <w:t>20</w:t>
      </w:r>
      <w:r w:rsidRPr="00E45250">
        <w:rPr>
          <w:rFonts w:asciiTheme="minorHAnsi" w:eastAsia="Times" w:hAnsiTheme="minorHAnsi"/>
          <w:color w:val="000000"/>
          <w:szCs w:val="24"/>
        </w:rPr>
        <w:tab/>
      </w:r>
      <w:r w:rsidRPr="00E45250">
        <w:rPr>
          <w:rFonts w:asciiTheme="minorHAnsi" w:eastAsia="Times" w:hAnsiTheme="minorHAnsi"/>
          <w:color w:val="000000"/>
          <w:szCs w:val="24"/>
        </w:rPr>
        <w:tab/>
        <w:t>6/1</w:t>
      </w:r>
      <w:r w:rsidR="002158F8">
        <w:rPr>
          <w:rFonts w:asciiTheme="minorHAnsi" w:eastAsia="Times" w:hAnsiTheme="minorHAnsi"/>
          <w:color w:val="000000"/>
          <w:szCs w:val="24"/>
        </w:rPr>
        <w:t>5</w:t>
      </w:r>
      <w:r w:rsidRPr="00E45250">
        <w:rPr>
          <w:rFonts w:asciiTheme="minorHAnsi" w:eastAsia="Times" w:hAnsiTheme="minorHAnsi"/>
          <w:color w:val="000000"/>
          <w:szCs w:val="24"/>
        </w:rPr>
        <w:tab/>
      </w:r>
      <w:r w:rsidRPr="00E45250">
        <w:rPr>
          <w:rFonts w:asciiTheme="minorHAnsi" w:eastAsia="Times" w:hAnsiTheme="minorHAnsi"/>
          <w:color w:val="000000"/>
          <w:szCs w:val="24"/>
        </w:rPr>
        <w:tab/>
      </w:r>
    </w:p>
    <w:p w14:paraId="163431AF" w14:textId="0EA71E45" w:rsidR="00E45250" w:rsidRPr="00E45250" w:rsidRDefault="00E45250" w:rsidP="00E45250">
      <w:pPr>
        <w:ind w:right="-360" w:firstLine="720"/>
        <w:jc w:val="both"/>
        <w:rPr>
          <w:rFonts w:asciiTheme="minorHAnsi" w:eastAsia="Times" w:hAnsiTheme="minorHAnsi"/>
          <w:color w:val="000000"/>
          <w:szCs w:val="24"/>
        </w:rPr>
      </w:pPr>
      <w:r w:rsidRPr="00E45250">
        <w:rPr>
          <w:rFonts w:asciiTheme="minorHAnsi" w:eastAsia="Times" w:hAnsiTheme="minorHAnsi"/>
          <w:color w:val="000000"/>
          <w:szCs w:val="24"/>
        </w:rPr>
        <w:tab/>
      </w:r>
      <w:r w:rsidR="00363FB1">
        <w:rPr>
          <w:rFonts w:asciiTheme="minorHAnsi" w:eastAsia="Times" w:hAnsiTheme="minorHAnsi"/>
          <w:color w:val="000000"/>
          <w:szCs w:val="24"/>
        </w:rPr>
        <w:tab/>
      </w:r>
      <w:r w:rsidR="00363FB1">
        <w:rPr>
          <w:rFonts w:asciiTheme="minorHAnsi" w:eastAsia="Times" w:hAnsiTheme="minorHAnsi"/>
          <w:color w:val="000000"/>
          <w:szCs w:val="24"/>
        </w:rPr>
        <w:tab/>
      </w:r>
      <w:r w:rsidRPr="00E45250">
        <w:rPr>
          <w:rFonts w:asciiTheme="minorHAnsi" w:eastAsia="Times" w:hAnsiTheme="minorHAnsi"/>
          <w:color w:val="000000"/>
          <w:szCs w:val="24"/>
          <w:u w:val="single"/>
        </w:rPr>
        <w:t>to 6/2</w:t>
      </w:r>
      <w:r w:rsidR="002158F8">
        <w:rPr>
          <w:rFonts w:asciiTheme="minorHAnsi" w:eastAsia="Times" w:hAnsiTheme="minorHAnsi"/>
          <w:color w:val="000000"/>
          <w:szCs w:val="24"/>
          <w:u w:val="single"/>
        </w:rPr>
        <w:t>5</w:t>
      </w:r>
      <w:r w:rsidRPr="00E45250">
        <w:rPr>
          <w:rFonts w:asciiTheme="minorHAnsi" w:eastAsia="Times" w:hAnsiTheme="minorHAnsi"/>
          <w:color w:val="000000"/>
          <w:szCs w:val="24"/>
        </w:rPr>
        <w:tab/>
      </w:r>
      <w:r w:rsidRPr="00E45250">
        <w:rPr>
          <w:rFonts w:asciiTheme="minorHAnsi" w:eastAsia="Times" w:hAnsiTheme="minorHAnsi"/>
          <w:color w:val="000000"/>
          <w:szCs w:val="24"/>
          <w:u w:val="single"/>
        </w:rPr>
        <w:t>to 6/2</w:t>
      </w:r>
      <w:r w:rsidR="002158F8">
        <w:rPr>
          <w:rFonts w:asciiTheme="minorHAnsi" w:eastAsia="Times" w:hAnsiTheme="minorHAnsi"/>
          <w:color w:val="000000"/>
          <w:szCs w:val="24"/>
          <w:u w:val="single"/>
        </w:rPr>
        <w:t>5</w:t>
      </w:r>
      <w:r w:rsidRPr="00E45250">
        <w:rPr>
          <w:rFonts w:asciiTheme="minorHAnsi" w:eastAsia="Times" w:hAnsiTheme="minorHAnsi"/>
          <w:color w:val="000000"/>
          <w:szCs w:val="24"/>
        </w:rPr>
        <w:tab/>
      </w:r>
      <w:r w:rsidRPr="00E45250">
        <w:rPr>
          <w:rFonts w:asciiTheme="minorHAnsi" w:eastAsia="Times" w:hAnsiTheme="minorHAnsi"/>
          <w:color w:val="000000"/>
          <w:szCs w:val="24"/>
          <w:u w:val="single"/>
        </w:rPr>
        <w:t>to 6/2</w:t>
      </w:r>
      <w:r w:rsidR="002158F8">
        <w:rPr>
          <w:rFonts w:asciiTheme="minorHAnsi" w:eastAsia="Times" w:hAnsiTheme="minorHAnsi"/>
          <w:color w:val="000000"/>
          <w:szCs w:val="24"/>
          <w:u w:val="single"/>
        </w:rPr>
        <w:t>5</w:t>
      </w:r>
      <w:r w:rsidRPr="00E45250">
        <w:rPr>
          <w:rFonts w:asciiTheme="minorHAnsi" w:eastAsia="Times" w:hAnsiTheme="minorHAnsi"/>
          <w:color w:val="000000"/>
          <w:szCs w:val="24"/>
        </w:rPr>
        <w:tab/>
      </w:r>
      <w:r w:rsidRPr="00E45250">
        <w:rPr>
          <w:rFonts w:asciiTheme="minorHAnsi" w:eastAsia="Times" w:hAnsiTheme="minorHAnsi"/>
          <w:color w:val="000000"/>
          <w:szCs w:val="24"/>
          <w:u w:val="single"/>
        </w:rPr>
        <w:t>to 6/2</w:t>
      </w:r>
      <w:r w:rsidR="002158F8">
        <w:rPr>
          <w:rFonts w:asciiTheme="minorHAnsi" w:eastAsia="Times" w:hAnsiTheme="minorHAnsi"/>
          <w:color w:val="000000"/>
          <w:szCs w:val="24"/>
          <w:u w:val="single"/>
        </w:rPr>
        <w:t>5</w:t>
      </w:r>
      <w:r w:rsidRPr="00E45250">
        <w:rPr>
          <w:rFonts w:asciiTheme="minorHAnsi" w:eastAsia="Times" w:hAnsiTheme="minorHAnsi"/>
          <w:color w:val="000000"/>
          <w:szCs w:val="24"/>
        </w:rPr>
        <w:tab/>
      </w:r>
      <w:r w:rsidRPr="00E45250">
        <w:rPr>
          <w:rFonts w:asciiTheme="minorHAnsi" w:eastAsia="Times" w:hAnsiTheme="minorHAnsi"/>
          <w:color w:val="000000"/>
          <w:szCs w:val="24"/>
        </w:rPr>
        <w:tab/>
      </w:r>
    </w:p>
    <w:p w14:paraId="73322A35" w14:textId="475BD2AC" w:rsidR="00FF5431" w:rsidRPr="00E45250" w:rsidRDefault="00E45250" w:rsidP="00363FB1">
      <w:pPr>
        <w:ind w:left="720" w:firstLine="720"/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eastAsia="Times" w:hAnsiTheme="minorHAnsi"/>
          <w:color w:val="000000"/>
          <w:szCs w:val="24"/>
          <w:u w:val="single"/>
        </w:rPr>
        <w:t>Total fund</w:t>
      </w:r>
      <w:r w:rsidRPr="00E45250">
        <w:rPr>
          <w:rFonts w:asciiTheme="minorHAnsi" w:eastAsia="Times" w:hAnsiTheme="minorHAnsi"/>
          <w:color w:val="000000"/>
          <w:szCs w:val="24"/>
        </w:rPr>
        <w:tab/>
      </w:r>
      <w:r w:rsidR="00962AB5">
        <w:rPr>
          <w:rFonts w:asciiTheme="minorHAnsi" w:eastAsia="Times" w:hAnsiTheme="minorHAnsi"/>
          <w:color w:val="000000"/>
          <w:szCs w:val="24"/>
        </w:rPr>
        <w:t>11.89/36</w:t>
      </w:r>
      <w:r w:rsidR="00962AB5">
        <w:rPr>
          <w:rFonts w:asciiTheme="minorHAnsi" w:eastAsia="Times" w:hAnsiTheme="minorHAnsi"/>
          <w:color w:val="000000"/>
          <w:szCs w:val="24"/>
        </w:rPr>
        <w:tab/>
        <w:t>11.53/31</w:t>
      </w:r>
      <w:r w:rsidR="00962AB5">
        <w:rPr>
          <w:rFonts w:asciiTheme="minorHAnsi" w:eastAsia="Times" w:hAnsiTheme="minorHAnsi"/>
          <w:color w:val="000000"/>
          <w:szCs w:val="24"/>
        </w:rPr>
        <w:tab/>
        <w:t>9.88/20</w:t>
      </w:r>
      <w:r w:rsidR="00962AB5">
        <w:rPr>
          <w:rFonts w:asciiTheme="minorHAnsi" w:eastAsia="Times" w:hAnsiTheme="minorHAnsi"/>
          <w:color w:val="000000"/>
          <w:szCs w:val="24"/>
        </w:rPr>
        <w:tab/>
        <w:t>8.46/12</w:t>
      </w:r>
      <w:r w:rsidR="00032395" w:rsidRPr="00E45250">
        <w:rPr>
          <w:rFonts w:asciiTheme="minorHAnsi" w:hAnsiTheme="minorHAnsi"/>
          <w:szCs w:val="24"/>
        </w:rPr>
        <w:tab/>
      </w:r>
    </w:p>
    <w:p w14:paraId="5C0AC219" w14:textId="77777777" w:rsidR="00FF5431" w:rsidRPr="00E45250" w:rsidRDefault="00FF5431" w:rsidP="00032395">
      <w:pPr>
        <w:jc w:val="both"/>
        <w:rPr>
          <w:rFonts w:asciiTheme="minorHAnsi" w:hAnsiTheme="minorHAnsi"/>
          <w:szCs w:val="24"/>
        </w:rPr>
      </w:pPr>
    </w:p>
    <w:p w14:paraId="765F2B14" w14:textId="668A206C" w:rsidR="00032395" w:rsidRPr="00E45250" w:rsidRDefault="00032395" w:rsidP="00FF5431">
      <w:pPr>
        <w:ind w:firstLine="720"/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>c.</w:t>
      </w:r>
      <w:r w:rsidRPr="00E45250">
        <w:rPr>
          <w:rFonts w:asciiTheme="minorHAnsi" w:hAnsiTheme="minorHAnsi"/>
          <w:szCs w:val="24"/>
        </w:rPr>
        <w:tab/>
        <w:t>Expenditures</w:t>
      </w:r>
    </w:p>
    <w:p w14:paraId="165D4912" w14:textId="795110E3" w:rsidR="00032395" w:rsidRPr="00E45250" w:rsidRDefault="00032395" w:rsidP="00032395">
      <w:pPr>
        <w:ind w:left="1440"/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 xml:space="preserve">The system’s expenditures for the </w:t>
      </w:r>
      <w:r w:rsidR="00046DCD" w:rsidRPr="00E45250">
        <w:rPr>
          <w:rFonts w:asciiTheme="minorHAnsi" w:hAnsiTheme="minorHAnsi"/>
          <w:szCs w:val="24"/>
        </w:rPr>
        <w:t>fiscal</w:t>
      </w:r>
      <w:r w:rsidRPr="00E45250">
        <w:rPr>
          <w:rFonts w:asciiTheme="minorHAnsi" w:hAnsiTheme="minorHAnsi"/>
          <w:szCs w:val="24"/>
        </w:rPr>
        <w:t xml:space="preserve"> year ending </w:t>
      </w:r>
      <w:r w:rsidR="0054623B" w:rsidRPr="00E45250">
        <w:rPr>
          <w:rFonts w:asciiTheme="minorHAnsi" w:hAnsiTheme="minorHAnsi"/>
          <w:szCs w:val="24"/>
        </w:rPr>
        <w:t xml:space="preserve">June 30, </w:t>
      </w:r>
      <w:proofErr w:type="gramStart"/>
      <w:r w:rsidR="0054623B" w:rsidRPr="00E45250">
        <w:rPr>
          <w:rFonts w:asciiTheme="minorHAnsi" w:hAnsiTheme="minorHAnsi"/>
          <w:szCs w:val="24"/>
        </w:rPr>
        <w:t>202</w:t>
      </w:r>
      <w:r w:rsidR="00962AB5">
        <w:rPr>
          <w:rFonts w:asciiTheme="minorHAnsi" w:hAnsiTheme="minorHAnsi"/>
          <w:szCs w:val="24"/>
        </w:rPr>
        <w:t>5</w:t>
      </w:r>
      <w:proofErr w:type="gramEnd"/>
      <w:r w:rsidRPr="00E45250">
        <w:rPr>
          <w:rFonts w:asciiTheme="minorHAnsi" w:hAnsiTheme="minorHAnsi"/>
          <w:szCs w:val="24"/>
        </w:rPr>
        <w:t xml:space="preserve"> are listed below:</w:t>
      </w:r>
    </w:p>
    <w:p w14:paraId="1F2BDBC6" w14:textId="181B3DDD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Benefit payments</w:t>
      </w: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</w:r>
      <w:r w:rsidR="006055AA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>$</w:t>
      </w:r>
      <w:r w:rsidR="00FF5431" w:rsidRPr="00E45250">
        <w:rPr>
          <w:rFonts w:asciiTheme="minorHAnsi" w:hAnsiTheme="minorHAnsi"/>
          <w:szCs w:val="24"/>
        </w:rPr>
        <w:t>2</w:t>
      </w:r>
      <w:r w:rsidR="00E96A6E">
        <w:rPr>
          <w:rFonts w:asciiTheme="minorHAnsi" w:hAnsiTheme="minorHAnsi"/>
          <w:szCs w:val="24"/>
        </w:rPr>
        <w:t>7,38</w:t>
      </w:r>
      <w:r w:rsidR="00736ADE">
        <w:rPr>
          <w:rFonts w:asciiTheme="minorHAnsi" w:hAnsiTheme="minorHAnsi"/>
          <w:szCs w:val="24"/>
        </w:rPr>
        <w:t>7</w:t>
      </w:r>
      <w:r w:rsidR="00E96A6E">
        <w:rPr>
          <w:rFonts w:asciiTheme="minorHAnsi" w:hAnsiTheme="minorHAnsi"/>
          <w:szCs w:val="24"/>
        </w:rPr>
        <w:t>,</w:t>
      </w:r>
      <w:r w:rsidR="00736ADE">
        <w:rPr>
          <w:rFonts w:asciiTheme="minorHAnsi" w:hAnsiTheme="minorHAnsi"/>
          <w:szCs w:val="24"/>
        </w:rPr>
        <w:t>292</w:t>
      </w:r>
    </w:p>
    <w:p w14:paraId="709AF0E0" w14:textId="40990D84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Refun</w:t>
      </w:r>
      <w:r w:rsidR="00D35FF2" w:rsidRPr="00E45250">
        <w:rPr>
          <w:rFonts w:asciiTheme="minorHAnsi" w:hAnsiTheme="minorHAnsi"/>
          <w:szCs w:val="24"/>
        </w:rPr>
        <w:t>d of member contributions</w:t>
      </w:r>
      <w:r w:rsidR="00D35FF2" w:rsidRPr="00E45250">
        <w:rPr>
          <w:rFonts w:asciiTheme="minorHAnsi" w:hAnsiTheme="minorHAnsi"/>
          <w:szCs w:val="24"/>
        </w:rPr>
        <w:tab/>
      </w:r>
      <w:r w:rsidR="00D35FF2" w:rsidRPr="00E45250">
        <w:rPr>
          <w:rFonts w:asciiTheme="minorHAnsi" w:hAnsiTheme="minorHAnsi"/>
          <w:szCs w:val="24"/>
        </w:rPr>
        <w:tab/>
      </w:r>
      <w:r w:rsidR="00D35FF2" w:rsidRPr="00E45250">
        <w:rPr>
          <w:rFonts w:asciiTheme="minorHAnsi" w:hAnsiTheme="minorHAnsi"/>
          <w:szCs w:val="24"/>
        </w:rPr>
        <w:tab/>
        <w:t xml:space="preserve">   </w:t>
      </w:r>
      <w:r w:rsidRPr="00E45250">
        <w:rPr>
          <w:rFonts w:asciiTheme="minorHAnsi" w:hAnsiTheme="minorHAnsi"/>
          <w:szCs w:val="24"/>
        </w:rPr>
        <w:t xml:space="preserve"> </w:t>
      </w:r>
      <w:r w:rsidR="00E96A6E">
        <w:rPr>
          <w:rFonts w:asciiTheme="minorHAnsi" w:hAnsiTheme="minorHAnsi"/>
          <w:szCs w:val="24"/>
        </w:rPr>
        <w:t xml:space="preserve"> </w:t>
      </w:r>
      <w:r w:rsidR="00D35FF2" w:rsidRPr="00E45250">
        <w:rPr>
          <w:rFonts w:asciiTheme="minorHAnsi" w:hAnsiTheme="minorHAnsi"/>
          <w:szCs w:val="24"/>
        </w:rPr>
        <w:t>1,</w:t>
      </w:r>
      <w:r w:rsidR="00736ADE">
        <w:rPr>
          <w:rFonts w:asciiTheme="minorHAnsi" w:hAnsiTheme="minorHAnsi"/>
          <w:szCs w:val="24"/>
        </w:rPr>
        <w:t>480,468</w:t>
      </w:r>
    </w:p>
    <w:p w14:paraId="0317B930" w14:textId="1CF8F2B5" w:rsidR="00032395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Administrati</w:t>
      </w:r>
      <w:r w:rsidR="00D35FF2" w:rsidRPr="00E45250">
        <w:rPr>
          <w:rFonts w:asciiTheme="minorHAnsi" w:hAnsiTheme="minorHAnsi"/>
          <w:szCs w:val="24"/>
        </w:rPr>
        <w:t xml:space="preserve">ve &amp; Investment </w:t>
      </w:r>
      <w:r w:rsidRPr="00E45250">
        <w:rPr>
          <w:rFonts w:asciiTheme="minorHAnsi" w:hAnsiTheme="minorHAnsi"/>
          <w:szCs w:val="24"/>
        </w:rPr>
        <w:t>Expense</w:t>
      </w:r>
      <w:r w:rsidR="00D35FF2" w:rsidRPr="00E45250">
        <w:rPr>
          <w:rFonts w:asciiTheme="minorHAnsi" w:hAnsiTheme="minorHAnsi"/>
          <w:szCs w:val="24"/>
        </w:rPr>
        <w:tab/>
      </w:r>
      <w:r w:rsidR="00D35FF2" w:rsidRPr="00E45250">
        <w:rPr>
          <w:rFonts w:asciiTheme="minorHAnsi" w:hAnsiTheme="minorHAnsi"/>
          <w:szCs w:val="24"/>
        </w:rPr>
        <w:tab/>
        <w:t xml:space="preserve">    </w:t>
      </w:r>
      <w:r w:rsidR="00E96A6E">
        <w:rPr>
          <w:rFonts w:asciiTheme="minorHAnsi" w:hAnsiTheme="minorHAnsi"/>
          <w:szCs w:val="24"/>
        </w:rPr>
        <w:t xml:space="preserve"> </w:t>
      </w:r>
      <w:r w:rsidR="00AB5B5B">
        <w:rPr>
          <w:rFonts w:asciiTheme="minorHAnsi" w:hAnsiTheme="minorHAnsi"/>
          <w:szCs w:val="24"/>
        </w:rPr>
        <w:t>1,</w:t>
      </w:r>
      <w:r w:rsidR="00736ADE">
        <w:rPr>
          <w:rFonts w:asciiTheme="minorHAnsi" w:hAnsiTheme="minorHAnsi"/>
          <w:szCs w:val="24"/>
        </w:rPr>
        <w:t>644,405</w:t>
      </w:r>
    </w:p>
    <w:p w14:paraId="454B9653" w14:textId="56A65921" w:rsidR="00433590" w:rsidRPr="00E45250" w:rsidRDefault="00433590" w:rsidP="00032395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Education/Training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9,524</w:t>
      </w:r>
    </w:p>
    <w:p w14:paraId="6EBF0DAC" w14:textId="0F0135F0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</w:r>
    </w:p>
    <w:p w14:paraId="49A813AD" w14:textId="58FC0034" w:rsidR="00532B61" w:rsidRPr="00E45250" w:rsidRDefault="00032395" w:rsidP="00032395">
      <w:pPr>
        <w:jc w:val="both"/>
        <w:rPr>
          <w:rFonts w:asciiTheme="minorHAnsi" w:hAnsiTheme="minorHAnsi"/>
          <w:b/>
          <w:szCs w:val="24"/>
        </w:rPr>
      </w:pPr>
      <w:r w:rsidRPr="00E45250">
        <w:rPr>
          <w:rFonts w:asciiTheme="minorHAnsi" w:hAnsiTheme="minorHAnsi"/>
          <w:b/>
          <w:szCs w:val="24"/>
        </w:rPr>
        <w:t>III.</w:t>
      </w:r>
      <w:r w:rsidRPr="00E45250">
        <w:rPr>
          <w:rFonts w:asciiTheme="minorHAnsi" w:hAnsiTheme="minorHAnsi"/>
          <w:b/>
          <w:szCs w:val="24"/>
        </w:rPr>
        <w:tab/>
        <w:t xml:space="preserve">ACTUARIAL INFORMATION – </w:t>
      </w:r>
      <w:r w:rsidR="000C55ED" w:rsidRPr="00E45250">
        <w:rPr>
          <w:rFonts w:asciiTheme="minorHAnsi" w:hAnsiTheme="minorHAnsi"/>
          <w:b/>
          <w:szCs w:val="24"/>
        </w:rPr>
        <w:t>6</w:t>
      </w:r>
      <w:r w:rsidR="004C4D29" w:rsidRPr="00E45250">
        <w:rPr>
          <w:rFonts w:asciiTheme="minorHAnsi" w:hAnsiTheme="minorHAnsi"/>
          <w:b/>
          <w:szCs w:val="24"/>
        </w:rPr>
        <w:t>/30/2</w:t>
      </w:r>
      <w:r w:rsidR="002158F8">
        <w:rPr>
          <w:rFonts w:asciiTheme="minorHAnsi" w:hAnsiTheme="minorHAnsi"/>
          <w:b/>
          <w:szCs w:val="24"/>
        </w:rPr>
        <w:t>5</w:t>
      </w:r>
    </w:p>
    <w:p w14:paraId="73FEFF12" w14:textId="77777777" w:rsidR="002158F8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  <w:t>a.</w:t>
      </w:r>
      <w:r w:rsidRPr="00E45250">
        <w:rPr>
          <w:rFonts w:asciiTheme="minorHAnsi" w:hAnsiTheme="minorHAnsi"/>
          <w:szCs w:val="24"/>
        </w:rPr>
        <w:tab/>
        <w:t>Membership</w:t>
      </w:r>
    </w:p>
    <w:p w14:paraId="2C2A6F6D" w14:textId="0C14F744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1.</w:t>
      </w:r>
      <w:r w:rsidRPr="00E45250">
        <w:rPr>
          <w:rFonts w:asciiTheme="minorHAnsi" w:hAnsiTheme="minorHAnsi"/>
          <w:szCs w:val="24"/>
        </w:rPr>
        <w:tab/>
        <w:t xml:space="preserve">active members: </w:t>
      </w:r>
      <w:r w:rsidR="00FF5431" w:rsidRPr="00E45250">
        <w:rPr>
          <w:rFonts w:asciiTheme="minorHAnsi" w:hAnsiTheme="minorHAnsi"/>
          <w:szCs w:val="24"/>
        </w:rPr>
        <w:t>2</w:t>
      </w:r>
      <w:r w:rsidR="00736ADE">
        <w:rPr>
          <w:rFonts w:asciiTheme="minorHAnsi" w:hAnsiTheme="minorHAnsi"/>
          <w:szCs w:val="24"/>
        </w:rPr>
        <w:t>29</w:t>
      </w:r>
    </w:p>
    <w:p w14:paraId="730183A2" w14:textId="66016914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2.</w:t>
      </w:r>
      <w:r w:rsidRPr="00E45250">
        <w:rPr>
          <w:rFonts w:asciiTheme="minorHAnsi" w:hAnsiTheme="minorHAnsi"/>
          <w:szCs w:val="24"/>
        </w:rPr>
        <w:tab/>
        <w:t>retirees/beneficiaries (in</w:t>
      </w:r>
      <w:r w:rsidR="00F30713" w:rsidRPr="00E45250">
        <w:rPr>
          <w:rFonts w:asciiTheme="minorHAnsi" w:hAnsiTheme="minorHAnsi"/>
          <w:szCs w:val="24"/>
        </w:rPr>
        <w:t>cluding DROP</w:t>
      </w:r>
      <w:r w:rsidR="00FF5431" w:rsidRPr="00E45250">
        <w:rPr>
          <w:rFonts w:asciiTheme="minorHAnsi" w:hAnsiTheme="minorHAnsi"/>
          <w:szCs w:val="24"/>
        </w:rPr>
        <w:t xml:space="preserve">/EROP participants): </w:t>
      </w:r>
      <w:r w:rsidR="00736ADE">
        <w:rPr>
          <w:rFonts w:asciiTheme="minorHAnsi" w:hAnsiTheme="minorHAnsi"/>
          <w:szCs w:val="24"/>
        </w:rPr>
        <w:t>452</w:t>
      </w:r>
    </w:p>
    <w:p w14:paraId="1C23D24B" w14:textId="5F290B84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3.</w:t>
      </w:r>
      <w:r w:rsidRPr="00E45250">
        <w:rPr>
          <w:rFonts w:asciiTheme="minorHAnsi" w:hAnsiTheme="minorHAnsi"/>
          <w:szCs w:val="24"/>
        </w:rPr>
        <w:tab/>
        <w:t>open/closed Plan: Open</w:t>
      </w:r>
    </w:p>
    <w:p w14:paraId="25474537" w14:textId="77777777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  <w:t>b.</w:t>
      </w:r>
      <w:r w:rsidRPr="00E45250">
        <w:rPr>
          <w:rFonts w:asciiTheme="minorHAnsi" w:hAnsiTheme="minorHAnsi"/>
          <w:szCs w:val="24"/>
        </w:rPr>
        <w:tab/>
        <w:t>Benefits</w:t>
      </w:r>
    </w:p>
    <w:p w14:paraId="3A370AC6" w14:textId="44ABAC55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1.</w:t>
      </w:r>
      <w:r w:rsidRPr="00E45250">
        <w:rPr>
          <w:rFonts w:asciiTheme="minorHAnsi" w:hAnsiTheme="minorHAnsi"/>
          <w:szCs w:val="24"/>
        </w:rPr>
        <w:tab/>
        <w:t>average annual retirement allowance: $</w:t>
      </w:r>
      <w:r w:rsidR="00736ADE">
        <w:rPr>
          <w:rFonts w:asciiTheme="minorHAnsi" w:hAnsiTheme="minorHAnsi"/>
          <w:szCs w:val="24"/>
        </w:rPr>
        <w:t>58,041</w:t>
      </w:r>
    </w:p>
    <w:p w14:paraId="6CA525D1" w14:textId="63966103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2.</w:t>
      </w:r>
      <w:r w:rsidRPr="00E45250">
        <w:rPr>
          <w:rFonts w:asciiTheme="minorHAnsi" w:hAnsiTheme="minorHAnsi"/>
          <w:szCs w:val="24"/>
        </w:rPr>
        <w:tab/>
        <w:t>total annual retirement allowances being paid: $</w:t>
      </w:r>
      <w:r w:rsidR="00AB5B5B">
        <w:rPr>
          <w:rFonts w:asciiTheme="minorHAnsi" w:hAnsiTheme="minorHAnsi"/>
          <w:szCs w:val="24"/>
        </w:rPr>
        <w:t>2</w:t>
      </w:r>
      <w:r w:rsidR="00736ADE">
        <w:rPr>
          <w:rFonts w:asciiTheme="minorHAnsi" w:hAnsiTheme="minorHAnsi"/>
          <w:szCs w:val="24"/>
        </w:rPr>
        <w:t>6,234,634</w:t>
      </w:r>
    </w:p>
    <w:p w14:paraId="16A8C59B" w14:textId="77777777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  <w:t>c.</w:t>
      </w:r>
      <w:r w:rsidRPr="00E45250">
        <w:rPr>
          <w:rFonts w:asciiTheme="minorHAnsi" w:hAnsiTheme="minorHAnsi"/>
          <w:szCs w:val="24"/>
        </w:rPr>
        <w:tab/>
        <w:t>Contributions</w:t>
      </w:r>
    </w:p>
    <w:p w14:paraId="63B17664" w14:textId="4A5F36CA" w:rsidR="00032395" w:rsidRPr="00E45250" w:rsidRDefault="00032395" w:rsidP="00032395">
      <w:pPr>
        <w:ind w:left="2160" w:hanging="720"/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>1.</w:t>
      </w:r>
      <w:r w:rsidRPr="00E45250">
        <w:rPr>
          <w:rFonts w:asciiTheme="minorHAnsi" w:hAnsiTheme="minorHAnsi"/>
          <w:szCs w:val="24"/>
        </w:rPr>
        <w:tab/>
        <w:t>valuation payroll:</w:t>
      </w:r>
      <w:r w:rsidR="00736ADE">
        <w:rPr>
          <w:rFonts w:asciiTheme="minorHAnsi" w:hAnsiTheme="minorHAnsi"/>
          <w:szCs w:val="24"/>
        </w:rPr>
        <w:t xml:space="preserve"> </w:t>
      </w:r>
      <w:r w:rsidRPr="00E45250">
        <w:rPr>
          <w:rFonts w:asciiTheme="minorHAnsi" w:hAnsiTheme="minorHAnsi"/>
          <w:szCs w:val="24"/>
        </w:rPr>
        <w:t>$</w:t>
      </w:r>
      <w:r w:rsidR="00532B61" w:rsidRPr="00E45250">
        <w:rPr>
          <w:rFonts w:asciiTheme="minorHAnsi" w:hAnsiTheme="minorHAnsi"/>
          <w:szCs w:val="24"/>
        </w:rPr>
        <w:t>2</w:t>
      </w:r>
      <w:r w:rsidR="00736ADE">
        <w:rPr>
          <w:rFonts w:asciiTheme="minorHAnsi" w:hAnsiTheme="minorHAnsi"/>
          <w:szCs w:val="24"/>
        </w:rPr>
        <w:t>9,864,266</w:t>
      </w:r>
      <w:r w:rsidRPr="00E45250">
        <w:rPr>
          <w:rFonts w:asciiTheme="minorHAnsi" w:hAnsiTheme="minorHAnsi"/>
          <w:szCs w:val="24"/>
        </w:rPr>
        <w:t xml:space="preserve"> (inc</w:t>
      </w:r>
      <w:r w:rsidR="007F1382" w:rsidRPr="00E45250">
        <w:rPr>
          <w:rFonts w:asciiTheme="minorHAnsi" w:hAnsiTheme="minorHAnsi"/>
          <w:szCs w:val="24"/>
        </w:rPr>
        <w:t xml:space="preserve">ludes active </w:t>
      </w:r>
      <w:r w:rsidR="00BF2150" w:rsidRPr="00E45250">
        <w:rPr>
          <w:rFonts w:asciiTheme="minorHAnsi" w:hAnsiTheme="minorHAnsi"/>
          <w:szCs w:val="24"/>
        </w:rPr>
        <w:t>E</w:t>
      </w:r>
      <w:r w:rsidR="007F1382" w:rsidRPr="00E45250">
        <w:rPr>
          <w:rFonts w:asciiTheme="minorHAnsi" w:hAnsiTheme="minorHAnsi"/>
          <w:szCs w:val="24"/>
        </w:rPr>
        <w:t>ROP payroll of $</w:t>
      </w:r>
      <w:r w:rsidR="00736ADE">
        <w:rPr>
          <w:rFonts w:asciiTheme="minorHAnsi" w:hAnsiTheme="minorHAnsi"/>
          <w:szCs w:val="24"/>
        </w:rPr>
        <w:t>4,963,145</w:t>
      </w:r>
      <w:r w:rsidRPr="00E45250">
        <w:rPr>
          <w:rFonts w:asciiTheme="minorHAnsi" w:hAnsiTheme="minorHAnsi"/>
          <w:szCs w:val="24"/>
        </w:rPr>
        <w:t>)</w:t>
      </w:r>
    </w:p>
    <w:p w14:paraId="2A17C52D" w14:textId="3A85ED88" w:rsidR="00032395" w:rsidRPr="00E45250" w:rsidRDefault="00032395" w:rsidP="00032395">
      <w:pPr>
        <w:ind w:left="2160" w:hanging="720"/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>2.</w:t>
      </w:r>
      <w:r w:rsidRPr="00E45250">
        <w:rPr>
          <w:rFonts w:asciiTheme="minorHAnsi" w:hAnsiTheme="minorHAnsi"/>
          <w:szCs w:val="24"/>
        </w:rPr>
        <w:tab/>
        <w:t xml:space="preserve">employer’s normal cost of benefits as a percentage of valuation payroll: </w:t>
      </w:r>
      <w:r w:rsidR="00AB5B5B">
        <w:rPr>
          <w:rFonts w:asciiTheme="minorHAnsi" w:hAnsiTheme="minorHAnsi"/>
          <w:szCs w:val="24"/>
        </w:rPr>
        <w:t>9.</w:t>
      </w:r>
      <w:r w:rsidR="00E96A6E">
        <w:rPr>
          <w:rFonts w:asciiTheme="minorHAnsi" w:hAnsiTheme="minorHAnsi"/>
          <w:szCs w:val="24"/>
        </w:rPr>
        <w:t>7</w:t>
      </w:r>
      <w:r w:rsidRPr="00E45250">
        <w:rPr>
          <w:rFonts w:asciiTheme="minorHAnsi" w:hAnsiTheme="minorHAnsi"/>
          <w:szCs w:val="24"/>
        </w:rPr>
        <w:t>%</w:t>
      </w:r>
    </w:p>
    <w:p w14:paraId="6CF429EF" w14:textId="0C4F97F3" w:rsidR="00032395" w:rsidRPr="00E45250" w:rsidRDefault="00032395" w:rsidP="00032395">
      <w:pPr>
        <w:ind w:left="2160" w:hanging="720"/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>3.</w:t>
      </w:r>
      <w:r w:rsidRPr="00E45250">
        <w:rPr>
          <w:rFonts w:asciiTheme="minorHAnsi" w:hAnsiTheme="minorHAnsi"/>
          <w:szCs w:val="24"/>
        </w:rPr>
        <w:tab/>
        <w:t xml:space="preserve">employer’s total contribution rate as a percentage of valuation payroll: </w:t>
      </w:r>
      <w:r w:rsidR="00470BC1">
        <w:rPr>
          <w:rFonts w:asciiTheme="minorHAnsi" w:hAnsiTheme="minorHAnsi"/>
          <w:szCs w:val="24"/>
        </w:rPr>
        <w:t>4</w:t>
      </w:r>
      <w:r w:rsidR="00E96A6E">
        <w:rPr>
          <w:rFonts w:asciiTheme="minorHAnsi" w:hAnsiTheme="minorHAnsi"/>
          <w:szCs w:val="24"/>
        </w:rPr>
        <w:t>5</w:t>
      </w:r>
      <w:r w:rsidR="00AB5B5B">
        <w:rPr>
          <w:rFonts w:asciiTheme="minorHAnsi" w:hAnsiTheme="minorHAnsi"/>
          <w:szCs w:val="24"/>
        </w:rPr>
        <w:t>.</w:t>
      </w:r>
      <w:r w:rsidR="00736ADE">
        <w:rPr>
          <w:rFonts w:asciiTheme="minorHAnsi" w:hAnsiTheme="minorHAnsi"/>
          <w:szCs w:val="24"/>
        </w:rPr>
        <w:t>7</w:t>
      </w:r>
      <w:r w:rsidR="00E96A6E">
        <w:rPr>
          <w:rFonts w:asciiTheme="minorHAnsi" w:hAnsiTheme="minorHAnsi"/>
          <w:szCs w:val="24"/>
        </w:rPr>
        <w:t>6</w:t>
      </w:r>
      <w:r w:rsidRPr="00E45250">
        <w:rPr>
          <w:rFonts w:asciiTheme="minorHAnsi" w:hAnsiTheme="minorHAnsi"/>
          <w:szCs w:val="24"/>
        </w:rPr>
        <w:t>%</w:t>
      </w:r>
    </w:p>
    <w:p w14:paraId="6DF9A6D0" w14:textId="41C5D041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4.</w:t>
      </w:r>
      <w:r w:rsidRPr="00E45250">
        <w:rPr>
          <w:rFonts w:asciiTheme="minorHAnsi" w:hAnsiTheme="minorHAnsi"/>
          <w:szCs w:val="24"/>
        </w:rPr>
        <w:tab/>
      </w:r>
      <w:proofErr w:type="gramStart"/>
      <w:r w:rsidRPr="00E45250">
        <w:rPr>
          <w:rFonts w:asciiTheme="minorHAnsi" w:hAnsiTheme="minorHAnsi"/>
          <w:szCs w:val="24"/>
        </w:rPr>
        <w:t>weighted</w:t>
      </w:r>
      <w:proofErr w:type="gramEnd"/>
      <w:r w:rsidRPr="00E45250">
        <w:rPr>
          <w:rFonts w:asciiTheme="minorHAnsi" w:hAnsiTheme="minorHAnsi"/>
          <w:szCs w:val="24"/>
        </w:rPr>
        <w:t xml:space="preserve"> </w:t>
      </w:r>
      <w:proofErr w:type="gramStart"/>
      <w:r w:rsidRPr="00E45250">
        <w:rPr>
          <w:rFonts w:asciiTheme="minorHAnsi" w:hAnsiTheme="minorHAnsi"/>
          <w:szCs w:val="24"/>
        </w:rPr>
        <w:t>average of</w:t>
      </w:r>
      <w:proofErr w:type="gramEnd"/>
      <w:r w:rsidRPr="00E45250">
        <w:rPr>
          <w:rFonts w:asciiTheme="minorHAnsi" w:hAnsiTheme="minorHAnsi"/>
          <w:szCs w:val="24"/>
        </w:rPr>
        <w:t xml:space="preserve"> member contribution rate: </w:t>
      </w:r>
      <w:r w:rsidR="00E96A6E">
        <w:rPr>
          <w:rFonts w:asciiTheme="minorHAnsi" w:hAnsiTheme="minorHAnsi"/>
          <w:szCs w:val="24"/>
        </w:rPr>
        <w:t>8.</w:t>
      </w:r>
      <w:r w:rsidR="00736ADE">
        <w:rPr>
          <w:rFonts w:asciiTheme="minorHAnsi" w:hAnsiTheme="minorHAnsi"/>
          <w:szCs w:val="24"/>
        </w:rPr>
        <w:t>60</w:t>
      </w:r>
      <w:r w:rsidRPr="00E45250">
        <w:rPr>
          <w:rFonts w:asciiTheme="minorHAnsi" w:hAnsiTheme="minorHAnsi"/>
          <w:szCs w:val="24"/>
        </w:rPr>
        <w:t>%</w:t>
      </w:r>
    </w:p>
    <w:p w14:paraId="1D817678" w14:textId="5CD32487" w:rsidR="00032395" w:rsidRPr="00E45250" w:rsidRDefault="00032395" w:rsidP="00032395">
      <w:pPr>
        <w:ind w:left="2160" w:hanging="720"/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>5.</w:t>
      </w:r>
      <w:r w:rsidRPr="00E45250">
        <w:rPr>
          <w:rFonts w:asciiTheme="minorHAnsi" w:hAnsiTheme="minorHAnsi"/>
          <w:szCs w:val="24"/>
        </w:rPr>
        <w:tab/>
        <w:t xml:space="preserve">confirmation that the Retirement System provides for the payment of the required employer contribution and that the Retirement System has received </w:t>
      </w:r>
      <w:proofErr w:type="gramStart"/>
      <w:r w:rsidRPr="00E45250">
        <w:rPr>
          <w:rFonts w:asciiTheme="minorHAnsi" w:hAnsiTheme="minorHAnsi"/>
          <w:szCs w:val="24"/>
        </w:rPr>
        <w:t>said required</w:t>
      </w:r>
      <w:proofErr w:type="gramEnd"/>
      <w:r w:rsidRPr="00E45250">
        <w:rPr>
          <w:rFonts w:asciiTheme="minorHAnsi" w:hAnsiTheme="minorHAnsi"/>
          <w:szCs w:val="24"/>
        </w:rPr>
        <w:t xml:space="preserve"> employer contribution: Yes</w:t>
      </w:r>
    </w:p>
    <w:p w14:paraId="0AAAABA5" w14:textId="77777777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  <w:t>d.</w:t>
      </w:r>
      <w:r w:rsidRPr="00E45250">
        <w:rPr>
          <w:rFonts w:asciiTheme="minorHAnsi" w:hAnsiTheme="minorHAnsi"/>
          <w:szCs w:val="24"/>
        </w:rPr>
        <w:tab/>
        <w:t>Assumptions</w:t>
      </w:r>
    </w:p>
    <w:p w14:paraId="50878872" w14:textId="2B2D43DC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1.</w:t>
      </w:r>
      <w:r w:rsidRPr="00E45250">
        <w:rPr>
          <w:rFonts w:asciiTheme="minorHAnsi" w:hAnsiTheme="minorHAnsi"/>
          <w:szCs w:val="24"/>
        </w:rPr>
        <w:tab/>
        <w:t xml:space="preserve">assumed rate of investment return: </w:t>
      </w:r>
      <w:r w:rsidR="00C90AD9" w:rsidRPr="00E45250">
        <w:rPr>
          <w:rFonts w:asciiTheme="minorHAnsi" w:hAnsiTheme="minorHAnsi"/>
          <w:szCs w:val="24"/>
        </w:rPr>
        <w:t>7.</w:t>
      </w:r>
      <w:r w:rsidR="00485227" w:rsidRPr="00E45250">
        <w:rPr>
          <w:rFonts w:asciiTheme="minorHAnsi" w:hAnsiTheme="minorHAnsi"/>
          <w:szCs w:val="24"/>
        </w:rPr>
        <w:t>2</w:t>
      </w:r>
      <w:r w:rsidR="00C90AD9" w:rsidRPr="00E45250">
        <w:rPr>
          <w:rFonts w:asciiTheme="minorHAnsi" w:hAnsiTheme="minorHAnsi"/>
          <w:szCs w:val="24"/>
        </w:rPr>
        <w:t>5</w:t>
      </w:r>
      <w:r w:rsidRPr="00E45250">
        <w:rPr>
          <w:rFonts w:asciiTheme="minorHAnsi" w:hAnsiTheme="minorHAnsi"/>
          <w:szCs w:val="24"/>
        </w:rPr>
        <w:t>%</w:t>
      </w:r>
    </w:p>
    <w:p w14:paraId="7A8A5D65" w14:textId="02910938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2.</w:t>
      </w:r>
      <w:r w:rsidRPr="00E45250">
        <w:rPr>
          <w:rFonts w:asciiTheme="minorHAnsi" w:hAnsiTheme="minorHAnsi"/>
          <w:szCs w:val="24"/>
        </w:rPr>
        <w:tab/>
        <w:t xml:space="preserve">assumed rate of long-term wage inflation: </w:t>
      </w:r>
      <w:r w:rsidR="00363FB1">
        <w:rPr>
          <w:rFonts w:asciiTheme="minorHAnsi" w:hAnsiTheme="minorHAnsi"/>
          <w:szCs w:val="24"/>
        </w:rPr>
        <w:t>3.</w:t>
      </w:r>
      <w:r w:rsidR="00736ADE">
        <w:rPr>
          <w:rFonts w:asciiTheme="minorHAnsi" w:hAnsiTheme="minorHAnsi"/>
          <w:szCs w:val="24"/>
        </w:rPr>
        <w:t>5</w:t>
      </w:r>
      <w:r w:rsidR="00363FB1">
        <w:rPr>
          <w:rFonts w:asciiTheme="minorHAnsi" w:hAnsiTheme="minorHAnsi"/>
          <w:szCs w:val="24"/>
        </w:rPr>
        <w:t>0</w:t>
      </w:r>
      <w:r w:rsidRPr="00E45250">
        <w:rPr>
          <w:rFonts w:asciiTheme="minorHAnsi" w:hAnsiTheme="minorHAnsi"/>
          <w:szCs w:val="24"/>
        </w:rPr>
        <w:t>%</w:t>
      </w:r>
    </w:p>
    <w:p w14:paraId="292DDFAF" w14:textId="6AC1A12E" w:rsidR="00032395" w:rsidRPr="00E45250" w:rsidRDefault="00032395" w:rsidP="00F4403F">
      <w:pPr>
        <w:ind w:left="2160" w:hanging="720"/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>3.</w:t>
      </w:r>
      <w:r w:rsidRPr="00E45250">
        <w:rPr>
          <w:rFonts w:asciiTheme="minorHAnsi" w:hAnsiTheme="minorHAnsi"/>
          <w:szCs w:val="24"/>
        </w:rPr>
        <w:tab/>
        <w:t xml:space="preserve">smoothing method used to determine the funding value of assets: </w:t>
      </w:r>
      <w:r w:rsidR="00485227" w:rsidRPr="00E45250">
        <w:rPr>
          <w:rFonts w:asciiTheme="minorHAnsi" w:hAnsiTheme="minorHAnsi"/>
          <w:szCs w:val="24"/>
        </w:rPr>
        <w:t>5</w:t>
      </w:r>
      <w:r w:rsidRPr="00E45250">
        <w:rPr>
          <w:rFonts w:asciiTheme="minorHAnsi" w:hAnsiTheme="minorHAnsi"/>
          <w:szCs w:val="24"/>
        </w:rPr>
        <w:t xml:space="preserve"> years</w:t>
      </w:r>
    </w:p>
    <w:p w14:paraId="5FEAF6F1" w14:textId="633847C3" w:rsidR="00032395" w:rsidRPr="00E45250" w:rsidRDefault="00032395" w:rsidP="00032395">
      <w:pPr>
        <w:ind w:left="2160" w:hanging="720"/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>4.</w:t>
      </w:r>
      <w:r w:rsidRPr="00E45250">
        <w:rPr>
          <w:rFonts w:asciiTheme="minorHAnsi" w:hAnsiTheme="minorHAnsi"/>
          <w:szCs w:val="24"/>
        </w:rPr>
        <w:tab/>
        <w:t>amortization method and period used for funding actuarial accrued liabilities:   Level percent of payroll/</w:t>
      </w:r>
      <w:r w:rsidR="009534F1">
        <w:rPr>
          <w:rFonts w:asciiTheme="minorHAnsi" w:hAnsiTheme="minorHAnsi"/>
          <w:szCs w:val="24"/>
        </w:rPr>
        <w:t>1</w:t>
      </w:r>
      <w:r w:rsidR="00E96A6E">
        <w:rPr>
          <w:rFonts w:asciiTheme="minorHAnsi" w:hAnsiTheme="minorHAnsi"/>
          <w:szCs w:val="24"/>
        </w:rPr>
        <w:t>8</w:t>
      </w:r>
      <w:r w:rsidRPr="00E45250">
        <w:rPr>
          <w:rFonts w:asciiTheme="minorHAnsi" w:hAnsiTheme="minorHAnsi"/>
          <w:szCs w:val="24"/>
        </w:rPr>
        <w:t xml:space="preserve"> years</w:t>
      </w:r>
    </w:p>
    <w:p w14:paraId="5410687F" w14:textId="77777777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</w:r>
      <w:r w:rsidRPr="00E45250">
        <w:rPr>
          <w:rFonts w:asciiTheme="minorHAnsi" w:hAnsiTheme="minorHAnsi"/>
          <w:szCs w:val="24"/>
        </w:rPr>
        <w:tab/>
        <w:t>5.</w:t>
      </w:r>
      <w:r w:rsidRPr="00E45250">
        <w:rPr>
          <w:rFonts w:asciiTheme="minorHAnsi" w:hAnsiTheme="minorHAnsi"/>
          <w:szCs w:val="24"/>
        </w:rPr>
        <w:tab/>
        <w:t>actuarial cost method – Individual Entry Age</w:t>
      </w:r>
    </w:p>
    <w:p w14:paraId="6771E682" w14:textId="77777777" w:rsidR="00032395" w:rsidRPr="00E45250" w:rsidRDefault="00032395" w:rsidP="00032395">
      <w:pPr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ab/>
        <w:t>e.</w:t>
      </w:r>
      <w:r w:rsidRPr="00E45250">
        <w:rPr>
          <w:rFonts w:asciiTheme="minorHAnsi" w:hAnsiTheme="minorHAnsi"/>
          <w:szCs w:val="24"/>
        </w:rPr>
        <w:tab/>
        <w:t>Funded Ratio</w:t>
      </w:r>
    </w:p>
    <w:p w14:paraId="11DA3817" w14:textId="54837A21" w:rsidR="00032395" w:rsidRPr="00E45250" w:rsidRDefault="00032395" w:rsidP="00C6236C">
      <w:pPr>
        <w:ind w:left="2160" w:hanging="720"/>
        <w:jc w:val="both"/>
        <w:rPr>
          <w:rFonts w:asciiTheme="minorHAnsi" w:hAnsiTheme="minorHAnsi"/>
          <w:szCs w:val="24"/>
        </w:rPr>
      </w:pPr>
      <w:r w:rsidRPr="00E45250">
        <w:rPr>
          <w:rFonts w:asciiTheme="minorHAnsi" w:hAnsiTheme="minorHAnsi"/>
          <w:szCs w:val="24"/>
        </w:rPr>
        <w:t>1.</w:t>
      </w:r>
      <w:r w:rsidRPr="00E45250">
        <w:rPr>
          <w:rFonts w:asciiTheme="minorHAnsi" w:hAnsiTheme="minorHAnsi"/>
          <w:szCs w:val="24"/>
        </w:rPr>
        <w:tab/>
        <w:t xml:space="preserve">valuation assets to actuarial accrued liabilities on a plan-year basis: </w:t>
      </w:r>
      <w:r w:rsidR="00E45250">
        <w:rPr>
          <w:rFonts w:asciiTheme="minorHAnsi" w:hAnsiTheme="minorHAnsi"/>
          <w:szCs w:val="24"/>
        </w:rPr>
        <w:t>6</w:t>
      </w:r>
      <w:r w:rsidR="00736ADE">
        <w:rPr>
          <w:rFonts w:asciiTheme="minorHAnsi" w:hAnsiTheme="minorHAnsi"/>
          <w:szCs w:val="24"/>
        </w:rPr>
        <w:t>3.8</w:t>
      </w:r>
      <w:r w:rsidRPr="00E45250">
        <w:rPr>
          <w:rFonts w:asciiTheme="minorHAnsi" w:hAnsiTheme="minorHAnsi"/>
          <w:szCs w:val="24"/>
        </w:rPr>
        <w:t>%</w:t>
      </w:r>
    </w:p>
    <w:sectPr w:rsidR="00032395" w:rsidRPr="00E45250" w:rsidSect="00032395">
      <w:pgSz w:w="12240" w:h="15840"/>
      <w:pgMar w:top="720" w:right="144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84"/>
    <w:rsid w:val="00012063"/>
    <w:rsid w:val="00030E88"/>
    <w:rsid w:val="00032395"/>
    <w:rsid w:val="00043AD4"/>
    <w:rsid w:val="00046DCD"/>
    <w:rsid w:val="00070488"/>
    <w:rsid w:val="00097F17"/>
    <w:rsid w:val="000C05F6"/>
    <w:rsid w:val="000C55ED"/>
    <w:rsid w:val="000D35DC"/>
    <w:rsid w:val="00145A32"/>
    <w:rsid w:val="00171530"/>
    <w:rsid w:val="001746E8"/>
    <w:rsid w:val="00180049"/>
    <w:rsid w:val="0019014C"/>
    <w:rsid w:val="00195474"/>
    <w:rsid w:val="001F0442"/>
    <w:rsid w:val="0020736D"/>
    <w:rsid w:val="002158F8"/>
    <w:rsid w:val="002323FE"/>
    <w:rsid w:val="00257A39"/>
    <w:rsid w:val="002616AA"/>
    <w:rsid w:val="002963FE"/>
    <w:rsid w:val="002C078D"/>
    <w:rsid w:val="002F0590"/>
    <w:rsid w:val="00304EFE"/>
    <w:rsid w:val="00307F80"/>
    <w:rsid w:val="00336544"/>
    <w:rsid w:val="00363FB1"/>
    <w:rsid w:val="00376DFC"/>
    <w:rsid w:val="003877EB"/>
    <w:rsid w:val="00395AD8"/>
    <w:rsid w:val="003C0469"/>
    <w:rsid w:val="003D36F2"/>
    <w:rsid w:val="003D406E"/>
    <w:rsid w:val="00433590"/>
    <w:rsid w:val="00441B88"/>
    <w:rsid w:val="00463357"/>
    <w:rsid w:val="00470BC1"/>
    <w:rsid w:val="00485227"/>
    <w:rsid w:val="004C4D29"/>
    <w:rsid w:val="004E0CEC"/>
    <w:rsid w:val="005101C4"/>
    <w:rsid w:val="005164A6"/>
    <w:rsid w:val="00532B61"/>
    <w:rsid w:val="0054623B"/>
    <w:rsid w:val="00560EC4"/>
    <w:rsid w:val="00587904"/>
    <w:rsid w:val="005A5589"/>
    <w:rsid w:val="005A5DBB"/>
    <w:rsid w:val="005B5BF8"/>
    <w:rsid w:val="005C64EA"/>
    <w:rsid w:val="006055AA"/>
    <w:rsid w:val="00650E52"/>
    <w:rsid w:val="00694F2C"/>
    <w:rsid w:val="006A0001"/>
    <w:rsid w:val="006B1FB2"/>
    <w:rsid w:val="006B6149"/>
    <w:rsid w:val="006B714B"/>
    <w:rsid w:val="007357B9"/>
    <w:rsid w:val="00735ECB"/>
    <w:rsid w:val="00736ADE"/>
    <w:rsid w:val="00737101"/>
    <w:rsid w:val="007470BC"/>
    <w:rsid w:val="007D6B06"/>
    <w:rsid w:val="007F1382"/>
    <w:rsid w:val="0082644D"/>
    <w:rsid w:val="008367F0"/>
    <w:rsid w:val="00836BD4"/>
    <w:rsid w:val="00884AA9"/>
    <w:rsid w:val="00894AF8"/>
    <w:rsid w:val="008B4988"/>
    <w:rsid w:val="008E1A9C"/>
    <w:rsid w:val="008F7F8B"/>
    <w:rsid w:val="00913CFD"/>
    <w:rsid w:val="00927A88"/>
    <w:rsid w:val="00930244"/>
    <w:rsid w:val="0093718D"/>
    <w:rsid w:val="00937272"/>
    <w:rsid w:val="009534F1"/>
    <w:rsid w:val="00962AB5"/>
    <w:rsid w:val="00972177"/>
    <w:rsid w:val="009C134C"/>
    <w:rsid w:val="009E2852"/>
    <w:rsid w:val="009E656E"/>
    <w:rsid w:val="00A0383B"/>
    <w:rsid w:val="00A112BF"/>
    <w:rsid w:val="00A80ACB"/>
    <w:rsid w:val="00A82D2E"/>
    <w:rsid w:val="00AA4AFA"/>
    <w:rsid w:val="00AB5B5B"/>
    <w:rsid w:val="00B25316"/>
    <w:rsid w:val="00B34CAE"/>
    <w:rsid w:val="00B357C1"/>
    <w:rsid w:val="00B82EB4"/>
    <w:rsid w:val="00BC7338"/>
    <w:rsid w:val="00BF2150"/>
    <w:rsid w:val="00C13516"/>
    <w:rsid w:val="00C50169"/>
    <w:rsid w:val="00C6236C"/>
    <w:rsid w:val="00C6436B"/>
    <w:rsid w:val="00C66913"/>
    <w:rsid w:val="00C70B0E"/>
    <w:rsid w:val="00C72BEC"/>
    <w:rsid w:val="00C90AD9"/>
    <w:rsid w:val="00CB70FC"/>
    <w:rsid w:val="00CC2B40"/>
    <w:rsid w:val="00CC73A6"/>
    <w:rsid w:val="00CF7884"/>
    <w:rsid w:val="00D15E12"/>
    <w:rsid w:val="00D26F61"/>
    <w:rsid w:val="00D30D61"/>
    <w:rsid w:val="00D35FF2"/>
    <w:rsid w:val="00DB36F5"/>
    <w:rsid w:val="00DC5000"/>
    <w:rsid w:val="00E23083"/>
    <w:rsid w:val="00E45250"/>
    <w:rsid w:val="00E4667C"/>
    <w:rsid w:val="00E52EFB"/>
    <w:rsid w:val="00E96A6E"/>
    <w:rsid w:val="00EB2D50"/>
    <w:rsid w:val="00EB4ECB"/>
    <w:rsid w:val="00EB6503"/>
    <w:rsid w:val="00EB7747"/>
    <w:rsid w:val="00EC4E35"/>
    <w:rsid w:val="00ED2584"/>
    <w:rsid w:val="00EE440D"/>
    <w:rsid w:val="00F30713"/>
    <w:rsid w:val="00F4403F"/>
    <w:rsid w:val="00F62954"/>
    <w:rsid w:val="00FC6AB7"/>
    <w:rsid w:val="00FE715D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137C18"/>
  <w14:defaultImageDpi w14:val="300"/>
  <w15:docId w15:val="{8EF55827-E39B-47AA-B0F0-400D619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kerville Old Face" w:eastAsia="Calibri" w:hAnsi="Baskerville Old Fac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A49"/>
    <w:pPr>
      <w:jc w:val="center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B4433"/>
    <w:pPr>
      <w:framePr w:w="7920" w:h="1980" w:hRule="exact" w:hSpace="180" w:wrap="auto" w:hAnchor="page" w:xAlign="center" w:yAlign="bottom"/>
      <w:ind w:left="2880"/>
    </w:pPr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VanOverbeke, Michaud &amp; Timmony, P.C.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Castle</dc:creator>
  <cp:keywords/>
  <dc:description/>
  <cp:lastModifiedBy>Kerrie Dzwonkowski</cp:lastModifiedBy>
  <cp:revision>8</cp:revision>
  <cp:lastPrinted>2025-08-19T11:56:00Z</cp:lastPrinted>
  <dcterms:created xsi:type="dcterms:W3CDTF">2025-07-15T14:46:00Z</dcterms:created>
  <dcterms:modified xsi:type="dcterms:W3CDTF">2025-08-26T19:43:00Z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2024-07-30T12:24:34Z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b4d6f201-96e3-4465-b7a5-0a89b7d16abb</vt:lpwstr>
  </property>
  <property fmtid="{D5CDD505-2E9C-101B-9397-08002B2CF9AE}" pid="7" name="MSIP_Label_defa4170-0d19-0005-0004-bc88714345d2_ActionId">
    <vt:lpwstr>39a359be-f8d4-4449-82a4-fae0459e807e</vt:lpwstr>
  </property>
  <property fmtid="{D5CDD505-2E9C-101B-9397-08002B2CF9AE}" pid="8" name="MSIP_Label_defa4170-0d19-0005-0004-bc88714345d2_ContentBits">
    <vt:lpwstr>0</vt:lpwstr>
  </property>
</Properties>
</file>